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left"/>
      </w:pPr>
      <w:r>
        <w:rPr>
          <w:b/>
          <w:color w:val="555B66"/>
          <w:sz w:val="22"/>
        </w:rPr>
        <w:t>MODELO-BASE</w:t>
      </w:r>
    </w:p>
    <w:p>
      <w:pPr>
        <w:spacing w:after="80"/>
      </w:pPr>
      <w:r>
        <w:rPr>
          <w:b/>
          <w:color w:val="142B4D"/>
          <w:sz w:val="56"/>
        </w:rPr>
        <w:t>Política de Uso de Inteligência Artificial</w:t>
      </w:r>
    </w:p>
    <w:p>
      <w:r>
        <w:rPr>
          <w:color w:val="555B66"/>
          <w:sz w:val="28"/>
        </w:rPr>
        <w:t>Empresas: regra do dia a dia para funcionários e prestadores</w:t>
      </w: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Organização</w:t>
            </w:r>
          </w:p>
        </w:tc>
        <w:tc>
          <w:tcPr>
            <w:tcW w:type="dxa" w:w="4759"/>
          </w:tcPr>
          <w:p>
            <w:r>
              <w:t>[NOME COMPLETO E CNPJ]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Versão</w:t>
            </w:r>
          </w:p>
        </w:tc>
        <w:tc>
          <w:tcPr>
            <w:tcW w:type="dxa" w:w="4759"/>
          </w:tcPr>
          <w:p>
            <w:r>
              <w:t>[1.0]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Vigência desde</w:t>
            </w:r>
          </w:p>
        </w:tc>
        <w:tc>
          <w:tcPr>
            <w:tcW w:type="dxa" w:w="4759"/>
          </w:tcPr>
          <w:p>
            <w:r>
              <w:t>[DATA]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Responsável pela política</w:t>
            </w:r>
          </w:p>
        </w:tc>
        <w:tc>
          <w:tcPr>
            <w:tcW w:type="dxa" w:w="4759"/>
          </w:tcPr>
          <w:p>
            <w:r>
              <w:t>[NOME E CARGO]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Este documento é um modelo-base. Ele organiza os pontos que a política deve cobrir, mas não substitui a análise do caso concreto nem a leitura das normas citadas. Adapte o texto à realidade da organização antes de adotá-lo.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Como usar este modelo</w:t>
      </w:r>
    </w:p>
    <w:p>
      <w:pPr>
        <w:jc w:val="both"/>
      </w:pPr>
      <w:r>
        <w:t>Este modelo serve para empresas de qualquer porte que tenham funcionários usando, ou prestes a usar, ferramentas de IA como ChatGPT, Copilot, Gemini e similares, inclusive as incorporadas a sistemas já contratados. Ele trata da regra do dia a dia da equipe. O programa maior de governança (inventário de sistemas, classificação de risco, avaliação de impacto, comitê) é um trabalho à parte e complementa esta política.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Instruções: </w:t>
            </w:r>
            <w:r>
              <w:rPr>
                <w:i/>
                <w:sz w:val="19"/>
              </w:rPr>
              <w:t>Preencha os campos entre colchetes, apague o que não se aplica e remova as notas amarelas na versão final. Se a empresa trata dados pessoais de clientes ou de funcionários, alinhe o texto ao programa de proteção de dados e ao encarregado (DPO), quando houver. A empresa pode precisar ajustar o contrato de trabalho, o regulamento interno ou termos aditivos para que a regra e as sanções tenham base clara.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POLÍTICA DE USO DE INTELIGÊNCIA ARTIFICIAL</w:t>
      </w:r>
    </w:p>
    <w:p>
      <w:pPr>
        <w:pStyle w:val="Heading2"/>
      </w:pPr>
      <w:r>
        <w:t>1. Objetivo e alcance</w:t>
      </w:r>
    </w:p>
    <w:p>
      <w:pPr>
        <w:ind w:left="567" w:hanging="567"/>
        <w:jc w:val="both"/>
      </w:pPr>
      <w:r>
        <w:rPr>
          <w:b/>
        </w:rPr>
        <w:t>1.1</w:t>
        <w:tab/>
      </w:r>
      <w:r>
        <w:t>Esta política define como os colaboradores de [NOME DA EMPRESA] ("empresa") podem usar ferramentas de inteligência artificial (IA) no trabalho, para aproveitar os ganhos da tecnologia sem expor dados, clientes e pessoas a riscos.</w:t>
      </w:r>
    </w:p>
    <w:p>
      <w:pPr>
        <w:ind w:left="567" w:hanging="567"/>
        <w:jc w:val="both"/>
      </w:pPr>
      <w:r>
        <w:rPr>
          <w:b/>
        </w:rPr>
        <w:t>1.2</w:t>
        <w:tab/>
      </w:r>
      <w:r>
        <w:t>Aplica-se a empregados, estagiários, prestadores e terceirizados, em equipamentos da empresa ou pessoais usados no trabalho, e a qualquer ferramenta de IA, inclusive as embutidas em programas, aplicativos e plataformas já usados pela empresa.</w:t>
      </w:r>
    </w:p>
    <w:p>
      <w:pPr>
        <w:pStyle w:val="Heading2"/>
      </w:pPr>
      <w:r>
        <w:t>2. Responsáveis</w:t>
      </w:r>
    </w:p>
    <w:p>
      <w:pPr>
        <w:ind w:left="567" w:hanging="567"/>
        <w:jc w:val="both"/>
      </w:pPr>
      <w:r>
        <w:rPr>
          <w:b/>
        </w:rPr>
        <w:t>2.1</w:t>
        <w:tab/>
      </w:r>
      <w:r>
        <w:t>A diretoria aprova esta política. [NOME E CARGO] é o responsável por mantê-la, aprovar ferramentas, receber pedidos e conduzir incidentes, com apoio de [TECNOLOGIA / JURÍDICO / ENCARREGADO DE DADOS].</w:t>
      </w:r>
    </w:p>
    <w:p>
      <w:pPr>
        <w:pStyle w:val="Heading2"/>
      </w:pPr>
      <w:r>
        <w:t>3. Ferramentas aprovadas</w:t>
      </w:r>
    </w:p>
    <w:p>
      <w:pPr>
        <w:ind w:left="567" w:hanging="567"/>
        <w:jc w:val="both"/>
      </w:pPr>
      <w:r>
        <w:rPr>
          <w:b/>
        </w:rPr>
        <w:t>3.1</w:t>
        <w:tab/>
      </w:r>
      <w:r>
        <w:t>Somente as ferramentas do Anexo I, no plano indicado, podem ser usadas com informações da empresa, de clientes, de funcionários ou de fornecedores.</w:t>
      </w:r>
    </w:p>
    <w:p>
      <w:pPr>
        <w:ind w:left="567" w:hanging="567"/>
        <w:jc w:val="both"/>
      </w:pPr>
      <w:r>
        <w:rPr>
          <w:b/>
        </w:rPr>
        <w:t>3.2</w:t>
        <w:tab/>
      </w:r>
      <w:r>
        <w:t>A aprovação exige análise de termos de uso, política de privacidade e contrato: uso dos dados para treinar o modelo, retenção e exclusão, local de armazenamento, compartilhamento, segurança e comunicação de incidentes.</w:t>
      </w:r>
    </w:p>
    <w:p>
      <w:pPr>
        <w:ind w:left="567" w:hanging="567"/>
        <w:jc w:val="both"/>
      </w:pPr>
      <w:r>
        <w:rPr>
          <w:b/>
        </w:rPr>
        <w:t>3.3</w:t>
        <w:tab/>
      </w:r>
      <w:r>
        <w:t>Contas pessoais e planos gratuitos não são permitidos para trabalho da empresa. Para usar outra ferramenta, o colaborador pede autorização ao responsável e aguarda a resposta por escrito.</w:t>
      </w:r>
    </w:p>
    <w:p>
      <w:pPr>
        <w:pStyle w:val="Heading2"/>
      </w:pPr>
      <w:r>
        <w:t>4. Dados: o que pode e o que não pode</w:t>
      </w:r>
    </w:p>
    <w:p>
      <w:pPr>
        <w:ind w:left="567" w:hanging="567"/>
        <w:jc w:val="both"/>
      </w:pPr>
      <w:r>
        <w:rPr>
          <w:b/>
        </w:rPr>
        <w:t>4.1</w:t>
        <w:tab/>
      </w:r>
      <w:r>
        <w:t>A classificação do Anexo II vale para todas as áreas. Dado VERMELHO nunca entra em ferramenta de IA aberta ou não aprovada.</w:t>
      </w:r>
    </w:p>
    <w:p>
      <w:pPr>
        <w:ind w:left="567" w:hanging="567"/>
        <w:jc w:val="both"/>
      </w:pPr>
      <w:r>
        <w:rPr>
          <w:b/>
        </w:rPr>
        <w:t>4.2</w:t>
        <w:tab/>
      </w:r>
      <w:r>
        <w:t>São dados vermelhos, entre outros: dados pessoais de clientes, candidatos, funcionários e fornecedores; contratos e propostas sob sigilo; segredo industrial, código-fonte, fórmulas e estratégias; informações financeiras não públicas; senhas, chaves e credenciais.</w:t>
      </w:r>
    </w:p>
    <w:p>
      <w:pPr>
        <w:ind w:left="567" w:hanging="567"/>
        <w:jc w:val="both"/>
      </w:pPr>
      <w:r>
        <w:rPr>
          <w:b/>
        </w:rPr>
        <w:t>4.3</w:t>
        <w:tab/>
      </w:r>
      <w:r>
        <w:t>Em caso de dúvida, o colaborador trata o dado como vermelho e consulta o responsável antes de enviar.</w:t>
      </w:r>
    </w:p>
    <w:p>
      <w:pPr>
        <w:pStyle w:val="Heading2"/>
      </w:pPr>
      <w:r>
        <w:t>5. Conferência e responsabilidade</w:t>
      </w:r>
    </w:p>
    <w:p>
      <w:pPr>
        <w:ind w:left="567" w:hanging="567"/>
        <w:jc w:val="both"/>
      </w:pPr>
      <w:r>
        <w:rPr>
          <w:b/>
        </w:rPr>
        <w:t>5.1</w:t>
        <w:tab/>
      </w:r>
      <w:r>
        <w:t>Nenhum resultado de IA sai da empresa, vai a cliente ou é usado em decisão sem revisão de uma pessoa competente. A IA pode errar, inventar fonte e reproduzir vieses.</w:t>
      </w:r>
    </w:p>
    <w:p>
      <w:pPr>
        <w:ind w:left="567" w:hanging="567"/>
        <w:jc w:val="both"/>
      </w:pPr>
      <w:r>
        <w:rPr>
          <w:b/>
        </w:rPr>
        <w:t>5.2</w:t>
        <w:tab/>
      </w:r>
      <w:r>
        <w:t>Quem assina, envia ou decide com base no resultado responde por ele. A ferramenta não é responsável.</w:t>
      </w:r>
    </w:p>
    <w:p>
      <w:pPr>
        <w:pStyle w:val="Heading2"/>
      </w:pPr>
      <w:r>
        <w:t>6. Decisões sobre pessoas</w:t>
      </w:r>
    </w:p>
    <w:p>
      <w:pPr>
        <w:ind w:left="567" w:hanging="567"/>
        <w:jc w:val="both"/>
      </w:pPr>
      <w:r>
        <w:rPr>
          <w:b/>
        </w:rPr>
        <w:t>6.1</w:t>
        <w:tab/>
      </w:r>
      <w:r>
        <w:t>Seleção de candidatos, promoção, desligamento, avaliação de desempenho, concessão de crédito, benefícios e punições não são decididos apenas por IA. A pessoa afetada pode pedir revisão por um ser humano, e a empresa deve conseguir explicar os critérios usados (LGPD, art. 20).</w:t>
      </w:r>
    </w:p>
    <w:p>
      <w:pPr>
        <w:ind w:left="567" w:hanging="567"/>
        <w:jc w:val="both"/>
      </w:pPr>
      <w:r>
        <w:rPr>
          <w:b/>
        </w:rPr>
        <w:t>6.2</w:t>
        <w:tab/>
      </w:r>
      <w:r>
        <w:t>O uso de IA no recrutamento e na gestão de pessoas depende de aprovação prévia do responsável e de avaliação de risco.</w:t>
      </w:r>
    </w:p>
    <w:p>
      <w:pPr>
        <w:pStyle w:val="Heading2"/>
      </w:pPr>
      <w:r>
        <w:t>7. Propriedade, confidencialidade e direitos de terceiros</w:t>
      </w:r>
    </w:p>
    <w:p>
      <w:pPr>
        <w:ind w:left="567" w:hanging="567"/>
        <w:jc w:val="both"/>
      </w:pPr>
      <w:r>
        <w:rPr>
          <w:b/>
        </w:rPr>
        <w:t>7.1</w:t>
        <w:tab/>
      </w:r>
      <w:r>
        <w:t>O conteúdo produzido no trabalho com apoio de IA pertence à empresa nos termos do contrato, e o dever de confidencialidade continua valendo.</w:t>
      </w:r>
    </w:p>
    <w:p>
      <w:pPr>
        <w:ind w:left="567" w:hanging="567"/>
        <w:jc w:val="both"/>
      </w:pPr>
      <w:r>
        <w:rPr>
          <w:b/>
        </w:rPr>
        <w:t>7.2</w:t>
        <w:tab/>
      </w:r>
      <w:r>
        <w:t>É proibido usar IA para copiar conteúdo de terceiros, gerar imagem ou voz de pessoa real sem autorização ou criar material que viole direitos autorais, marcas ou a imagem de alguém.</w:t>
      </w:r>
    </w:p>
    <w:p>
      <w:pPr>
        <w:pStyle w:val="Heading2"/>
      </w:pPr>
      <w:r>
        <w:t>8. Registro e incidentes</w:t>
      </w:r>
    </w:p>
    <w:p>
      <w:pPr>
        <w:ind w:left="567" w:hanging="567"/>
        <w:jc w:val="both"/>
      </w:pPr>
      <w:r>
        <w:rPr>
          <w:b/>
        </w:rPr>
        <w:t>8.1</w:t>
        <w:tab/>
      </w:r>
      <w:r>
        <w:t>O uso de IA em atividades relevantes é registrado conforme o Anexo III (ferramenta, tarefa, dados envolvidos e revisor).</w:t>
      </w:r>
    </w:p>
    <w:p>
      <w:pPr>
        <w:ind w:left="567" w:hanging="567"/>
        <w:jc w:val="both"/>
      </w:pPr>
      <w:r>
        <w:rPr>
          <w:b/>
        </w:rPr>
        <w:t>8.2</w:t>
        <w:tab/>
      </w:r>
      <w:r>
        <w:t>Quem enviou algo indevido, ou percebeu acesso não autorizado, avisa o responsável na hora, sem medo de punição por contar. O responsável segue o plano do Anexo IV e avalia a comunicação aos titulares e à ANPD, nos termos do art. 48 da LGPD.</w:t>
      </w:r>
    </w:p>
    <w:p>
      <w:pPr>
        <w:pStyle w:val="Heading2"/>
      </w:pPr>
      <w:r>
        <w:t>9. Treinamento, ciência e consequências</w:t>
      </w:r>
    </w:p>
    <w:p>
      <w:pPr>
        <w:ind w:left="567" w:hanging="567"/>
        <w:jc w:val="both"/>
      </w:pPr>
      <w:r>
        <w:rPr>
          <w:b/>
        </w:rPr>
        <w:t>9.1</w:t>
        <w:tab/>
      </w:r>
      <w:r>
        <w:t>Todo colaborador recebe orientação sobre esta política ao ingressar e a cada [PERÍODO], com exemplos da sua área, e assina o termo do Anexo V.</w:t>
      </w:r>
    </w:p>
    <w:p>
      <w:pPr>
        <w:ind w:left="567" w:hanging="567"/>
        <w:jc w:val="both"/>
      </w:pPr>
      <w:r>
        <w:rPr>
          <w:b/>
        </w:rPr>
        <w:t>9.2</w:t>
        <w:tab/>
      </w:r>
      <w:r>
        <w:t>O descumprimento é tratado de forma proporcional à gravidade, ao que foi enviado e à reincidência, desde a orientação até sanção disciplinar, conforme [CONTRATO, REGULAMENTO INTERNO OU CONVENÇÃO COLETIVA]. A violação de segredo da empresa pode, conforme o caso, configurar falta grave.</w:t>
      </w:r>
    </w:p>
    <w:p>
      <w:pPr>
        <w:pStyle w:val="Heading2"/>
      </w:pPr>
      <w:r>
        <w:t>10. Vigência e revisão</w:t>
      </w:r>
    </w:p>
    <w:p>
      <w:pPr>
        <w:ind w:left="567" w:hanging="567"/>
        <w:jc w:val="both"/>
      </w:pPr>
      <w:r>
        <w:rPr>
          <w:b/>
        </w:rPr>
        <w:t>10.1</w:t>
        <w:tab/>
      </w:r>
      <w:r>
        <w:t>Esta política vale desde a data indicada na capa e é revista a cada [PERÍODO] e sempre que mudar ferramenta, contrato com fornecedor, norma ou risco relevante.</w:t>
      </w:r>
    </w:p>
    <w:p>
      <w:r>
        <w:br w:type="page"/>
      </w:r>
    </w:p>
    <w:p>
      <w:pPr>
        <w:pStyle w:val="Heading1"/>
      </w:pPr>
      <w:r>
        <w:t>ANEXO I. Ferramentas aprovadas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1701"/>
        <w:gridCol w:w="1701"/>
        <w:gridCol w:w="2268"/>
        <w:gridCol w:w="1474"/>
      </w:tblGrid>
      <w:tr>
        <w:tc>
          <w:tcPr>
            <w:tcW w:type="dxa" w:w="204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Ferramenta e versão</w:t>
            </w:r>
          </w:p>
        </w:tc>
        <w:tc>
          <w:tcPr>
            <w:tcW w:type="dxa" w:w="170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Plano contratado</w:t>
            </w:r>
          </w:p>
        </w:tc>
        <w:tc>
          <w:tcPr>
            <w:tcW w:type="dxa" w:w="170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Áreas autorizadas</w:t>
            </w:r>
          </w:p>
        </w:tc>
        <w:tc>
          <w:tcPr>
            <w:tcW w:type="dxa" w:w="226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Usos e dados permitidos</w:t>
            </w:r>
          </w:p>
        </w:tc>
        <w:tc>
          <w:tcPr>
            <w:tcW w:type="dxa" w:w="1474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Aprovada em / por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ANEXO II. Semáforo de dados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4762"/>
        <w:gridCol w:w="3061"/>
      </w:tblGrid>
      <w:tr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Nível</w:t>
            </w:r>
          </w:p>
        </w:tc>
        <w:tc>
          <w:tcPr>
            <w:tcW w:type="dxa" w:w="4762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Exemplos</w:t>
            </w:r>
          </w:p>
        </w:tc>
        <w:tc>
          <w:tcPr>
            <w:tcW w:type="dxa" w:w="30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Regra</w:t>
            </w:r>
          </w:p>
        </w:tc>
      </w:tr>
      <w:tr>
        <w:tc>
          <w:tcPr>
            <w:tcW w:type="dxa" w:w="1361"/>
            <w:shd w:val="clear" w:color="auto" w:fill="D9F0DD"/>
          </w:tcPr>
          <w:p>
            <w:pPr>
              <w:spacing w:before="60" w:after="60"/>
            </w:pPr>
            <w:r>
              <w:rPr>
                <w:sz w:val="20"/>
              </w:rPr>
              <w:t>VERDE</w:t>
            </w:r>
          </w:p>
        </w:tc>
        <w:tc>
          <w:tcPr>
            <w:tcW w:type="dxa" w:w="4762"/>
          </w:tcPr>
          <w:p>
            <w:pPr>
              <w:spacing w:before="60" w:after="60"/>
            </w:pPr>
            <w:r>
              <w:rPr>
                <w:sz w:val="20"/>
              </w:rPr>
              <w:t>Texto público, ideias genéricas, rascunho de e-mail sem dado de pessoa, roteiro de reunião interna.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rPr>
                <w:sz w:val="20"/>
              </w:rPr>
              <w:t>Pode usar em ferramenta aprovada.</w:t>
            </w:r>
          </w:p>
        </w:tc>
      </w:tr>
      <w:tr>
        <w:tc>
          <w:tcPr>
            <w:tcW w:type="dxa" w:w="1361"/>
            <w:shd w:val="clear" w:color="auto" w:fill="FFF2B8"/>
          </w:tcPr>
          <w:p>
            <w:pPr>
              <w:spacing w:before="60" w:after="60"/>
            </w:pPr>
            <w:r>
              <w:rPr>
                <w:sz w:val="20"/>
              </w:rPr>
              <w:t>AMARELO</w:t>
            </w:r>
          </w:p>
        </w:tc>
        <w:tc>
          <w:tcPr>
            <w:tcW w:type="dxa" w:w="4762"/>
          </w:tcPr>
          <w:p>
            <w:pPr>
              <w:spacing w:before="60" w:after="60"/>
            </w:pPr>
            <w:r>
              <w:rPr>
                <w:sz w:val="20"/>
              </w:rPr>
              <w:t>Procedimentos e textos internos sem pessoa identificável, dados agregados sem possibilidade de identificar alguém.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rPr>
                <w:sz w:val="20"/>
              </w:rPr>
              <w:t>Somente em conta corporativa aprovada, com autorização da chefia.</w:t>
            </w:r>
          </w:p>
        </w:tc>
      </w:tr>
      <w:tr>
        <w:tc>
          <w:tcPr>
            <w:tcW w:type="dxa" w:w="1361"/>
            <w:shd w:val="clear" w:color="auto" w:fill="F8CFCB"/>
          </w:tcPr>
          <w:p>
            <w:pPr>
              <w:spacing w:before="60" w:after="60"/>
            </w:pPr>
            <w:r>
              <w:rPr>
                <w:sz w:val="20"/>
              </w:rPr>
              <w:t>VERMELHO</w:t>
            </w:r>
          </w:p>
        </w:tc>
        <w:tc>
          <w:tcPr>
            <w:tcW w:type="dxa" w:w="4762"/>
          </w:tcPr>
          <w:p>
            <w:pPr>
              <w:spacing w:before="60" w:after="60"/>
            </w:pPr>
            <w:r>
              <w:rPr>
                <w:sz w:val="20"/>
              </w:rPr>
              <w:t>Currículos, avaliações, folha, cadastro de clientes, contratos sob sigilo, planilhas financeiras, código-fonte, segredo industrial, senhas e chaves.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rPr>
                <w:sz w:val="20"/>
              </w:rPr>
              <w:t>Nunca em ferramenta aberta. Só em solução contratada e autorizada pela diretoria.</w:t>
            </w:r>
          </w:p>
        </w:tc>
      </w:tr>
    </w:tbl>
    <w:p>
      <w:pPr>
        <w:spacing w:after="40"/>
      </w:pPr>
    </w:p>
    <w:p>
      <w:pPr>
        <w:pStyle w:val="Heading1"/>
      </w:pPr>
      <w:r>
        <w:t>ANEXO III. Exemplos por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Substitua pelos exemplos reais de cada área da empresa. Exemplos concretos são a parte da política que a equipe mais consulta.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3855"/>
        <w:gridCol w:w="3855"/>
      </w:tblGrid>
      <w:tr>
        <w:tc>
          <w:tcPr>
            <w:tcW w:type="dxa" w:w="1474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Área</w:t>
            </w:r>
          </w:p>
        </w:tc>
        <w:tc>
          <w:tcPr>
            <w:tcW w:type="dxa" w:w="3855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Pode</w:t>
            </w:r>
          </w:p>
        </w:tc>
        <w:tc>
          <w:tcPr>
            <w:tcW w:type="dxa" w:w="3855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Não pode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RH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Pedir ideias de roteiro de entrevista e de texto de vaga, sem dados de candidatos.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Colar currículos, notas de avaliação ou dados de funcionários; decidir seleção só pelo resultado da IA.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Financeiro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Pedir explicação de uma fórmula de planilha, com dados fictícios.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Enviar a planilha com fornecedores, valores e contas bancárias.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Comercial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Redigir modelo de e-mail e roteiro de reunião, sem dados do cliente.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Colar proposta ou contrato com cláusula de confidencialidade.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Atendimento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Pedir uma resposta educada a partir de uma situação descrita de forma genérica.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Colar a conversa com nome, telefone, endereço ou dados do consumidor.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Tecnologia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Pedir ajuda com um trecho genérico, sem segredo da empresa.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Enviar código-fonte proprietário, chaves, senhas ou configuração de ambiente.</w:t>
            </w:r>
          </w:p>
        </w:tc>
      </w:tr>
      <w:tr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Diretoria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Pedir estrutura de apresentação sem dados reais.</w:t>
            </w:r>
          </w:p>
        </w:tc>
        <w:tc>
          <w:tcPr>
            <w:tcW w:type="dxa" w:w="3855"/>
          </w:tcPr>
          <w:p>
            <w:pPr>
              <w:spacing w:before="60" w:after="60"/>
            </w:pPr>
            <w:r>
              <w:rPr>
                <w:sz w:val="20"/>
              </w:rPr>
              <w:t>Resumir ata e estratégia em conta pessoal ou ferramenta não aprovada.</w:t>
            </w:r>
          </w:p>
        </w:tc>
      </w:tr>
    </w:tbl>
    <w:p>
      <w:pPr>
        <w:spacing w:after="40"/>
      </w:pPr>
    </w:p>
    <w:p>
      <w:pPr>
        <w:pStyle w:val="Heading1"/>
      </w:pPr>
      <w:r>
        <w:t>ANEXO IV. Plano de resposta a incidente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5329"/>
        <w:gridCol w:w="2268"/>
      </w:tblGrid>
      <w:tr>
        <w:tc>
          <w:tcPr>
            <w:tcW w:type="dxa" w:w="158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Etapa</w:t>
            </w:r>
          </w:p>
        </w:tc>
        <w:tc>
          <w:tcPr>
            <w:tcW w:type="dxa" w:w="5329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O que fazer</w:t>
            </w:r>
          </w:p>
        </w:tc>
        <w:tc>
          <w:tcPr>
            <w:tcW w:type="dxa" w:w="226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Quem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1. Conter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Parar o uso, trocar senhas, encerrar sessões e guardar prints e horários.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Quem percebeu + responsável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2. Avisar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Informar o responsável na hora, por canal definido.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Quem percebeu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3. Avaliar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Que dados saíram, de quem, para qual fornecedor e qual o risco aos titulares.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 + jurídico ou encarregado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4. Pedir exclusão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Solicitar ao fornecedor a exclusão e a confirmação por escrito.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5. Comunicar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Decidir sobre a comunicação aos titulares e à ANPD (LGPD, art. 48) e registrar a decisão.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Diretoria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6. Corrigir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Ajustar ferramenta, treinamento ou política e registrar a lição aprendida.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</w:t>
            </w:r>
          </w:p>
        </w:tc>
      </w:tr>
    </w:tbl>
    <w:p>
      <w:pPr>
        <w:spacing w:after="40"/>
      </w:pPr>
    </w:p>
    <w:p>
      <w:pPr>
        <w:pStyle w:val="Heading1"/>
      </w:pPr>
      <w:r>
        <w:t>ANEXO V. Termo de ciência do colaborador</w:t>
      </w:r>
    </w:p>
    <w:p>
      <w:pPr>
        <w:jc w:val="both"/>
      </w:pPr>
      <w:r>
        <w:t>Declaro que recebi e li a Política de Uso de Inteligência Artificial de [NOME DA EMPRESA], versão [1.0], que fui orientado(a) sobre ela e que me comprometo a cumpri-la, inclusive quanto à confidencialidade e à proteção de dados pessoais.</w:t>
      </w:r>
    </w:p>
    <w:p>
      <w:pPr>
        <w:jc w:val="both"/>
      </w:pPr>
      <w:r>
        <w:t>Nome: ______________________________   Cargo/área: ______________________</w:t>
        <w:br/>
        <w:t>Data: ____/____/________   Assinatura: ______________________________</w:t>
      </w:r>
    </w:p>
    <w:p>
      <w:pPr>
        <w:pStyle w:val="Heading1"/>
      </w:pPr>
      <w:r>
        <w:t>ANEXO VI. Checklist de implantação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257"/>
        <w:gridCol w:w="1360"/>
      </w:tblGrid>
      <w:tr>
        <w:tc>
          <w:tcPr>
            <w:tcW w:type="dxa" w:w="56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725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Passo</w:t>
            </w:r>
          </w:p>
        </w:tc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Feito em</w:t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Perguntar a cada área, sem tom de investigação, quais ferramentas de IA já usa, inclusive as embutidas em sistemas.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Escolher uma ou duas ferramentas corporativas e analisar os termos (cláusula 3.2).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Adaptar o semáforo e os exemplos por área à realidade da empresa.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Aprovar a política na diretoria e ajustar contrato, regulamento interno ou aditivo, se necessário.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Treinar cada área e colher o termo de ciência.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Iniciar o registro de uso e marcar a revisão em 30 dias.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Marcar a revisão geral da política em [PERÍODO].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Fontes normativas</w:t>
      </w:r>
    </w:p>
    <w:p>
      <w:pPr>
        <w:pStyle w:val="ListBullet"/>
      </w:pPr>
      <w:r>
        <w:t>Lei Geral de Proteção de Dados, Lei 13.709/2018, em especial os arts. 6º, 20, 42, 46, 48 e 50.</w:t>
      </w:r>
    </w:p>
    <w:p>
      <w:pPr>
        <w:pStyle w:val="ListBullet"/>
      </w:pPr>
      <w:r>
        <w:t>Consolidação das Leis do Trabalho, Decreto-Lei 5.452/1943, arts. 2º e 482.</w:t>
      </w:r>
    </w:p>
    <w:p>
      <w:pPr>
        <w:pStyle w:val="ListBullet"/>
      </w:pPr>
      <w:r>
        <w:t>Lei de Propriedade Industrial, Lei 9.279/1996, art. 195.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304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6"/>
        <w:sz w:val="17"/>
      </w:rPr>
      <w:t xml:space="preserve">Modelo-base elaborado por Lucas Karam Advocacia (OAB/BA 56.878) | lucaskaram.com.br  |  página </w:t>
    </w:r>
    <w:r>
      <w:rPr>
        <w:color w:val="555B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B66"/>
        <w:sz w:val="17"/>
      </w:rPr>
      <w:t>Política de Uso de Inteligência Artificial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42B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42B4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