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>
      <w:pPr>
        <w:jc w:val="left"/>
      </w:pPr>
      <w:r>
        <w:rPr>
          <w:b/>
          <w:color w:val="555B66"/>
          <w:sz w:val="22"/>
        </w:rPr>
        <w:t>MODELO-BASE</w:t>
      </w:r>
    </w:p>
    <w:p>
      <w:pPr>
        <w:spacing w:after="80"/>
      </w:pPr>
      <w:r>
        <w:rPr>
          <w:b/>
          <w:color w:val="142B4D"/>
          <w:sz w:val="56"/>
        </w:rPr>
        <w:t>Política de Uso de Inteligência Artificial</w:t>
      </w:r>
    </w:p>
    <w:p>
      <w:r>
        <w:rPr>
          <w:color w:val="555B66"/>
          <w:sz w:val="28"/>
        </w:rPr>
        <w:t>Escritório de advocacia, conforme a Recomendação n. 001/2024 do CFOAB</w:t>
      </w:r>
    </w:p>
    <w:p/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  <w:shd w:val="clear" w:color="auto" w:fill="E8EDF4"/>
          </w:tcPr>
          <w:p>
            <w:r>
              <w:rPr>
                <w:b/>
              </w:rPr>
              <w:t>Organização</w:t>
            </w:r>
          </w:p>
        </w:tc>
        <w:tc>
          <w:tcPr>
            <w:tcW w:type="dxa" w:w="4759"/>
          </w:tcPr>
          <w:p>
            <w:r>
              <w:t>[NOME COMPLETO E CNPJ]</w:t>
            </w:r>
          </w:p>
        </w:tc>
      </w:tr>
      <w:tr>
        <w:tc>
          <w:tcPr>
            <w:tcW w:type="dxa" w:w="4759"/>
            <w:shd w:val="clear" w:color="auto" w:fill="E8EDF4"/>
          </w:tcPr>
          <w:p>
            <w:r>
              <w:rPr>
                <w:b/>
              </w:rPr>
              <w:t>Versão</w:t>
            </w:r>
          </w:p>
        </w:tc>
        <w:tc>
          <w:tcPr>
            <w:tcW w:type="dxa" w:w="4759"/>
          </w:tcPr>
          <w:p>
            <w:r>
              <w:t>[1.0]</w:t>
            </w:r>
          </w:p>
        </w:tc>
      </w:tr>
      <w:tr>
        <w:tc>
          <w:tcPr>
            <w:tcW w:type="dxa" w:w="4759"/>
            <w:shd w:val="clear" w:color="auto" w:fill="E8EDF4"/>
          </w:tcPr>
          <w:p>
            <w:r>
              <w:rPr>
                <w:b/>
              </w:rPr>
              <w:t>Vigência desde</w:t>
            </w:r>
          </w:p>
        </w:tc>
        <w:tc>
          <w:tcPr>
            <w:tcW w:type="dxa" w:w="4759"/>
          </w:tcPr>
          <w:p>
            <w:r>
              <w:t>[DATA]</w:t>
            </w:r>
          </w:p>
        </w:tc>
      </w:tr>
      <w:tr>
        <w:tc>
          <w:tcPr>
            <w:tcW w:type="dxa" w:w="4759"/>
            <w:shd w:val="clear" w:color="auto" w:fill="E8EDF4"/>
          </w:tcPr>
          <w:p>
            <w:r>
              <w:rPr>
                <w:b/>
              </w:rPr>
              <w:t>Responsável pela política</w:t>
            </w:r>
          </w:p>
        </w:tc>
        <w:tc>
          <w:tcPr>
            <w:tcW w:type="dxa" w:w="4759"/>
          </w:tcPr>
          <w:p>
            <w:r>
              <w:t>[NOME E CARGO]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518"/>
      </w:tblGrid>
      <w:tr>
        <w:tc>
          <w:tcPr>
            <w:tcW w:type="dxa" w:w="9518"/>
            <w:shd w:val="clear" w:color="auto" w:fill="FFF6DB"/>
          </w:tcPr>
          <w:p>
            <w:r>
              <w:rPr>
                <w:b/>
                <w:sz w:val="19"/>
              </w:rPr>
              <w:t xml:space="preserve">Como preencher: </w:t>
            </w:r>
            <w:r>
              <w:rPr>
                <w:i/>
                <w:sz w:val="19"/>
              </w:rPr>
              <w:t>Este documento é um modelo-base. Ele organiza os pontos que a política deve cobrir, mas não substitui a análise do caso concreto nem a leitura das normas citadas. Adapte o texto à realidade da organização antes de adotá-lo.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Como usar este modelo</w:t>
      </w:r>
    </w:p>
    <w:p>
      <w:pPr>
        <w:jc w:val="both"/>
      </w:pPr>
      <w:r>
        <w:t>Este modelo foi pensado para escritórios de advocacia e departamentos jurídicos. Ele segue a Recomendação n. 001/2024 do Conselho Federal da OAB, que orienta o uso de IA generativa na prática jurídica, e a Lei Geral de Proteção de Dados (Lei 13.709/2018). A tabela abaixo mostra onde cada exigência da Recomendação aparece no texto.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103"/>
        <w:gridCol w:w="1474"/>
        <w:gridCol w:w="2381"/>
      </w:tblGrid>
      <w:tr>
        <w:tc>
          <w:tcPr>
            <w:tcW w:type="dxa" w:w="5102"/>
            <w:shd w:val="clear" w:color="auto" w:fill="142B4D"/>
          </w:tcPr>
          <w:p>
            <w:pPr>
              <w:spacing w:before="60" w:after="60"/>
            </w:pPr>
            <w:r>
              <w:rPr>
                <w:b/>
                <w:color w:val="FFFFFF"/>
                <w:sz w:val="20"/>
              </w:rPr>
              <w:t>Exigência da Recomendação</w:t>
            </w:r>
          </w:p>
        </w:tc>
        <w:tc>
          <w:tcPr>
            <w:tcW w:type="dxa" w:w="1474"/>
            <w:shd w:val="clear" w:color="auto" w:fill="142B4D"/>
          </w:tcPr>
          <w:p>
            <w:pPr>
              <w:spacing w:before="60" w:after="60"/>
            </w:pPr>
            <w:r>
              <w:rPr>
                <w:b/>
                <w:color w:val="FFFFFF"/>
                <w:sz w:val="20"/>
              </w:rPr>
              <w:t>Item</w:t>
            </w:r>
          </w:p>
        </w:tc>
        <w:tc>
          <w:tcPr>
            <w:tcW w:type="dxa" w:w="2381"/>
            <w:shd w:val="clear" w:color="auto" w:fill="142B4D"/>
          </w:tcPr>
          <w:p>
            <w:pPr>
              <w:spacing w:before="60" w:after="60"/>
            </w:pPr>
            <w:r>
              <w:rPr>
                <w:b/>
                <w:color w:val="FFFFFF"/>
                <w:sz w:val="20"/>
              </w:rPr>
              <w:t>Cláusula</w:t>
            </w:r>
          </w:p>
        </w:tc>
      </w:tr>
      <w:tr>
        <w:tc>
          <w:tcPr>
            <w:tcW w:type="dxa" w:w="5102"/>
          </w:tcPr>
          <w:p>
            <w:pPr>
              <w:spacing w:before="60" w:after="60"/>
            </w:pPr>
            <w:r>
              <w:rPr>
                <w:sz w:val="20"/>
              </w:rPr>
              <w:t>Sigilo, confidencialidade e cliente identificável</w:t>
            </w:r>
          </w:p>
        </w:tc>
        <w:tc>
          <w:tcPr>
            <w:tcW w:type="dxa" w:w="1474"/>
          </w:tcPr>
          <w:p>
            <w:pPr>
              <w:spacing w:before="60" w:after="60"/>
            </w:pPr>
            <w:r>
              <w:rPr>
                <w:sz w:val="20"/>
              </w:rPr>
              <w:t>2.1, 2.5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>
              <w:rPr>
                <w:sz w:val="20"/>
              </w:rPr>
              <w:t>4, Anexo III</w:t>
            </w:r>
          </w:p>
        </w:tc>
      </w:tr>
      <w:tr>
        <w:tc>
          <w:tcPr>
            <w:tcW w:type="dxa" w:w="5102"/>
          </w:tcPr>
          <w:p>
            <w:pPr>
              <w:spacing w:before="60" w:after="60"/>
            </w:pPr>
            <w:r>
              <w:rPr>
                <w:sz w:val="20"/>
              </w:rPr>
              <w:t>Diligência na escolha do fornecedor e não uso dos dados para treino</w:t>
            </w:r>
          </w:p>
        </w:tc>
        <w:tc>
          <w:tcPr>
            <w:tcW w:type="dxa" w:w="1474"/>
          </w:tcPr>
          <w:p>
            <w:pPr>
              <w:spacing w:before="60" w:after="60"/>
            </w:pPr>
            <w:r>
              <w:rPr>
                <w:sz w:val="20"/>
              </w:rPr>
              <w:t>2.2, 2.3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>
              <w:rPr>
                <w:sz w:val="20"/>
              </w:rPr>
              <w:t>3, Anexo I</w:t>
            </w:r>
          </w:p>
        </w:tc>
      </w:tr>
      <w:tr>
        <w:tc>
          <w:tcPr>
            <w:tcW w:type="dxa" w:w="5102"/>
          </w:tcPr>
          <w:p>
            <w:pPr>
              <w:spacing w:before="60" w:after="60"/>
            </w:pPr>
            <w:r>
              <w:rPr>
                <w:sz w:val="20"/>
              </w:rPr>
              <w:t>Chatbots: não praticar ato privativo e avisar que é máquina</w:t>
            </w:r>
          </w:p>
        </w:tc>
        <w:tc>
          <w:tcPr>
            <w:tcW w:type="dxa" w:w="1474"/>
          </w:tcPr>
          <w:p>
            <w:pPr>
              <w:spacing w:before="60" w:after="60"/>
            </w:pPr>
            <w:r>
              <w:rPr>
                <w:sz w:val="20"/>
              </w:rPr>
              <w:t>2.4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>
              <w:rPr>
                <w:sz w:val="20"/>
              </w:rPr>
              <w:t>9</w:t>
            </w:r>
          </w:p>
        </w:tc>
      </w:tr>
      <w:tr>
        <w:tc>
          <w:tcPr>
            <w:tcW w:type="dxa" w:w="5102"/>
          </w:tcPr>
          <w:p>
            <w:pPr>
              <w:spacing w:before="60" w:after="60"/>
            </w:pPr>
            <w:r>
              <w:rPr>
                <w:sz w:val="20"/>
              </w:rPr>
              <w:t>Julgamento humano e vedação de ato privativo à IA</w:t>
            </w:r>
          </w:p>
        </w:tc>
        <w:tc>
          <w:tcPr>
            <w:tcW w:type="dxa" w:w="1474"/>
          </w:tcPr>
          <w:p>
            <w:pPr>
              <w:spacing w:before="60" w:after="60"/>
            </w:pPr>
            <w:r>
              <w:rPr>
                <w:sz w:val="20"/>
              </w:rPr>
              <w:t>3.1, 3.3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>
              <w:rPr>
                <w:sz w:val="20"/>
              </w:rPr>
              <w:t>5</w:t>
            </w:r>
          </w:p>
        </w:tc>
      </w:tr>
      <w:tr>
        <w:tc>
          <w:tcPr>
            <w:tcW w:type="dxa" w:w="5102"/>
          </w:tcPr>
          <w:p>
            <w:pPr>
              <w:spacing w:before="60" w:after="60"/>
            </w:pPr>
            <w:r>
              <w:rPr>
                <w:sz w:val="20"/>
              </w:rPr>
              <w:t>Veracidade de doutrina e jurisprudência (CPC, art. 77)</w:t>
            </w:r>
          </w:p>
        </w:tc>
        <w:tc>
          <w:tcPr>
            <w:tcW w:type="dxa" w:w="1474"/>
          </w:tcPr>
          <w:p>
            <w:pPr>
              <w:spacing w:before="60" w:after="60"/>
            </w:pPr>
            <w:r>
              <w:rPr>
                <w:sz w:val="20"/>
              </w:rPr>
              <w:t>3.2, 3.7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>
              <w:rPr>
                <w:sz w:val="20"/>
              </w:rPr>
              <w:t>6</w:t>
            </w:r>
          </w:p>
        </w:tc>
      </w:tr>
      <w:tr>
        <w:tc>
          <w:tcPr>
            <w:tcW w:type="dxa" w:w="5102"/>
          </w:tcPr>
          <w:p>
            <w:pPr>
              <w:spacing w:before="60" w:after="60"/>
            </w:pPr>
            <w:r>
              <w:rPr>
                <w:sz w:val="20"/>
              </w:rPr>
              <w:t>Compreender a tecnologia, capacitação contínua</w:t>
            </w:r>
          </w:p>
        </w:tc>
        <w:tc>
          <w:tcPr>
            <w:tcW w:type="dxa" w:w="1474"/>
          </w:tcPr>
          <w:p>
            <w:pPr>
              <w:spacing w:before="60" w:after="60"/>
            </w:pPr>
            <w:r>
              <w:rPr>
                <w:sz w:val="20"/>
              </w:rPr>
              <w:t>3.4, 3.5, 3.8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>
              <w:rPr>
                <w:sz w:val="20"/>
              </w:rPr>
              <w:t>11</w:t>
            </w:r>
          </w:p>
        </w:tc>
      </w:tr>
      <w:tr>
        <w:tc>
          <w:tcPr>
            <w:tcW w:type="dxa" w:w="5102"/>
          </w:tcPr>
          <w:p>
            <w:pPr>
              <w:spacing w:before="60" w:after="60"/>
            </w:pPr>
            <w:r>
              <w:rPr>
                <w:sz w:val="20"/>
              </w:rPr>
              <w:t>Sócios: políticas, treinamento e monitoramento</w:t>
            </w:r>
          </w:p>
        </w:tc>
        <w:tc>
          <w:tcPr>
            <w:tcW w:type="dxa" w:w="1474"/>
          </w:tcPr>
          <w:p>
            <w:pPr>
              <w:spacing w:before="60" w:after="60"/>
            </w:pPr>
            <w:r>
              <w:rPr>
                <w:sz w:val="20"/>
              </w:rPr>
              <w:t>3.6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>
              <w:rPr>
                <w:sz w:val="20"/>
              </w:rPr>
              <w:t>2, 10, 11</w:t>
            </w:r>
          </w:p>
        </w:tc>
      </w:tr>
      <w:tr>
        <w:tc>
          <w:tcPr>
            <w:tcW w:type="dxa" w:w="5102"/>
          </w:tcPr>
          <w:p>
            <w:pPr>
              <w:spacing w:before="60" w:after="60"/>
            </w:pPr>
            <w:r>
              <w:rPr>
                <w:sz w:val="20"/>
              </w:rPr>
              <w:t>Comunicação ao cliente, consentimento, recusa e arquivo</w:t>
            </w:r>
          </w:p>
        </w:tc>
        <w:tc>
          <w:tcPr>
            <w:tcW w:type="dxa" w:w="1474"/>
          </w:tcPr>
          <w:p>
            <w:pPr>
              <w:spacing w:before="60" w:after="60"/>
            </w:pPr>
            <w:r>
              <w:rPr>
                <w:sz w:val="20"/>
              </w:rPr>
              <w:t>4.1 a 4.3.4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>
              <w:rPr>
                <w:sz w:val="20"/>
              </w:rPr>
              <w:t>7, Anexo V</w:t>
            </w:r>
          </w:p>
        </w:tc>
      </w:tr>
      <w:tr>
        <w:tc>
          <w:tcPr>
            <w:tcW w:type="dxa" w:w="5102"/>
          </w:tcPr>
          <w:p>
            <w:pPr>
              <w:spacing w:before="60" w:after="60"/>
            </w:pPr>
            <w:r>
              <w:rPr>
                <w:sz w:val="20"/>
              </w:rPr>
              <w:t>Revisão periódica</w:t>
            </w:r>
          </w:p>
        </w:tc>
        <w:tc>
          <w:tcPr>
            <w:tcW w:type="dxa" w:w="1474"/>
          </w:tcPr>
          <w:p>
            <w:pPr>
              <w:spacing w:before="60" w:after="60"/>
            </w:pPr>
            <w:r>
              <w:rPr>
                <w:sz w:val="20"/>
              </w:rPr>
              <w:t>5.1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>
              <w:rPr>
                <w:sz w:val="20"/>
              </w:rPr>
              <w:t>12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518"/>
      </w:tblGrid>
      <w:tr>
        <w:tc>
          <w:tcPr>
            <w:tcW w:type="dxa" w:w="9518"/>
            <w:shd w:val="clear" w:color="auto" w:fill="FFF6DB"/>
          </w:tcPr>
          <w:p>
            <w:r>
              <w:rPr>
                <w:b/>
                <w:sz w:val="19"/>
              </w:rPr>
              <w:t xml:space="preserve">Instruções: </w:t>
            </w:r>
            <w:r>
              <w:rPr>
                <w:i/>
                <w:sz w:val="19"/>
              </w:rPr>
              <w:t>Os campos entre colchetes devem ser preenchidos. Apague os trechos que não se aplicam. As notas em amarelo orientam o preenchimento e devem ser removidas da versão final. Antes de adotar, o responsável pelo escritório deve ler a Recomendação completa.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POLÍTICA DE USO DE INTELIGÊNCIA ARTIFICIAL</w:t>
      </w:r>
    </w:p>
    <w:p>
      <w:pPr>
        <w:pStyle w:val="Heading2"/>
      </w:pPr>
      <w:r>
        <w:t>1. Objetivo, alcance e definições</w:t>
      </w:r>
    </w:p>
    <w:p>
      <w:pPr>
        <w:ind w:left="567" w:hanging="567"/>
        <w:jc w:val="both"/>
      </w:pPr>
      <w:r>
        <w:rPr>
          <w:b/>
        </w:rPr>
        <w:t>1.1</w:t>
        <w:tab/>
      </w:r>
      <w:r>
        <w:t>Esta política estabelece as regras para o uso de ferramentas de inteligência artificial (IA), em especial a IA generativa, por [NOME DO ESCRITÓRIO] ("escritório"), com o fim de proteger o sigilo profissional, os dados dos clientes e a qualidade do serviço jurídico.</w:t>
      </w:r>
    </w:p>
    <w:p>
      <w:pPr>
        <w:ind w:left="567" w:hanging="567"/>
        <w:jc w:val="both"/>
      </w:pPr>
      <w:r>
        <w:rPr>
          <w:b/>
        </w:rPr>
        <w:t>1.2</w:t>
        <w:tab/>
      </w:r>
      <w:r>
        <w:t>Ela se aplica a sócios, advogados associados e contratados, estagiários, assistentes não advogados e terceirizados ("usuários"), em equipamentos do escritório ou pessoais usados no trabalho, e a qualquer ferramenta de IA, inclusive as incorporadas a programas já utilizados pelo escritório (editores de texto, e-mail, tradutores, transcrição de reuniões, sistemas de gestão e pesquisa jurídica).</w:t>
      </w:r>
    </w:p>
    <w:p>
      <w:pPr>
        <w:ind w:left="567" w:hanging="567"/>
        <w:jc w:val="both"/>
      </w:pPr>
      <w:r>
        <w:rPr>
          <w:b/>
        </w:rPr>
        <w:t>1.3</w:t>
        <w:tab/>
      </w:r>
      <w:r>
        <w:t>Para esta política, "IA generativa" é o sistema que gera ou modifica textos, imagens, áudios ou outros conteúdos a partir de modelos treinados com grandes volumes de dados. "Dado de cliente" é toda informação recebida em razão da prestação do serviço, inclusive a que, mesmo sem nome, possa tornar o cliente identificável.</w:t>
      </w:r>
    </w:p>
    <w:p>
      <w:pPr>
        <w:pStyle w:val="Heading2"/>
      </w:pPr>
      <w:r>
        <w:t>2. Responsabilidade pela política</w:t>
      </w:r>
    </w:p>
    <w:p>
      <w:pPr>
        <w:ind w:left="567" w:hanging="567"/>
        <w:jc w:val="both"/>
      </w:pPr>
      <w:r>
        <w:rPr>
          <w:b/>
        </w:rPr>
        <w:t>2.1</w:t>
        <w:tab/>
      </w:r>
      <w:r>
        <w:t>Cabe aos sócios aprovar esta política, garantir que o uso de IA por associados, estagiários e assistentes seja supervisionado, estabelecer regras claras de cibersegurança e de uso permitido, fornecer treinamento adequado e monitorar o cumprimento (Recomendação n. 001/2024, item 3.6).</w:t>
      </w:r>
    </w:p>
    <w:p>
      <w:pPr>
        <w:ind w:left="567" w:hanging="567"/>
        <w:jc w:val="both"/>
      </w:pPr>
      <w:r>
        <w:rPr>
          <w:b/>
        </w:rPr>
        <w:t>2.2</w:t>
        <w:tab/>
      </w:r>
      <w:r>
        <w:t>O escritório designa [NOME E CARGO] como responsável pela política, a quem cabe manter a lista de ferramentas aprovadas, receber pedidos de autorização, conduzir o registro de uso e coordenar a resposta a incidentes.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518"/>
      </w:tblGrid>
      <w:tr>
        <w:tc>
          <w:tcPr>
            <w:tcW w:type="dxa" w:w="9518"/>
            <w:shd w:val="clear" w:color="auto" w:fill="FFF6DB"/>
          </w:tcPr>
          <w:p>
            <w:r>
              <w:rPr>
                <w:b/>
                <w:sz w:val="19"/>
              </w:rPr>
              <w:t xml:space="preserve">Como preencher: </w:t>
            </w:r>
            <w:r>
              <w:rPr>
                <w:i/>
                <w:sz w:val="19"/>
              </w:rPr>
              <w:t>Em escritório pequeno, o responsável pode ser o próprio sócio. Em escritório com encarregado de dados (DPO), indique-o como apoio.</w:t>
            </w:r>
          </w:p>
        </w:tc>
      </w:tr>
    </w:tbl>
    <w:p>
      <w:pPr>
        <w:spacing w:after="40"/>
      </w:pPr>
    </w:p>
    <w:p>
      <w:pPr>
        <w:pStyle w:val="Heading2"/>
      </w:pPr>
      <w:r>
        <w:t>3. Ferramentas aprovadas</w:t>
      </w:r>
    </w:p>
    <w:p>
      <w:pPr>
        <w:ind w:left="567" w:hanging="567"/>
        <w:jc w:val="both"/>
      </w:pPr>
      <w:r>
        <w:rPr>
          <w:b/>
        </w:rPr>
        <w:t>3.1</w:t>
        <w:tab/>
      </w:r>
      <w:r>
        <w:t>Somente as ferramentas listadas no Anexo I, no plano e na versão indicados, podem ser usadas com informações do escritório ou de clientes.</w:t>
      </w:r>
    </w:p>
    <w:p>
      <w:pPr>
        <w:ind w:left="567" w:hanging="567"/>
        <w:jc w:val="both"/>
      </w:pPr>
      <w:r>
        <w:rPr>
          <w:b/>
        </w:rPr>
        <w:t>3.2</w:t>
        <w:tab/>
      </w:r>
      <w:r>
        <w:t>Antes de aprovar uma ferramenta, o responsável confere, por documento (termos de uso, política de privacidade e contrato), se o fornecedor: (a) protege as informações inseridas e adota medidas de segurança; (b) permite que os dados não sejam usados para treinar o sistema; (c) informa as finalidades de compartilhamento de dados; (d) indica onde os dados são armazenados e tratados; (e) define prazo de retenção e permite a exclusão; e (f) comunica incidentes (Recomendação, itens 2.2, 2.3 e 3.4).</w:t>
      </w:r>
    </w:p>
    <w:p>
      <w:pPr>
        <w:ind w:left="567" w:hanging="567"/>
        <w:jc w:val="both"/>
      </w:pPr>
      <w:r>
        <w:rPr>
          <w:b/>
        </w:rPr>
        <w:t>3.3</w:t>
        <w:tab/>
      </w:r>
      <w:r>
        <w:t>Contas pessoais ou gratuitas não podem ser usadas com dado de cliente. Quem quiser usar ferramenta fora da lista solicita autorização por escrito ao responsável e aguarda a resposta.</w:t>
      </w:r>
    </w:p>
    <w:p>
      <w:pPr>
        <w:ind w:left="567" w:hanging="567"/>
        <w:jc w:val="both"/>
      </w:pPr>
      <w:r>
        <w:rPr>
          <w:b/>
        </w:rPr>
        <w:t>3.4</w:t>
        <w:tab/>
      </w:r>
      <w:r>
        <w:t>A aprovação é registrada com data, versão dos termos lidos e decisão (aprovada, aprovada com restrição ou recusada), e é revista a cada mudança relevante de termos, plano ou fornecedor.</w:t>
      </w:r>
    </w:p>
    <w:p>
      <w:pPr>
        <w:pStyle w:val="Heading2"/>
      </w:pPr>
      <w:r>
        <w:t>4. Dados e sigilo</w:t>
      </w:r>
    </w:p>
    <w:p>
      <w:pPr>
        <w:ind w:left="567" w:hanging="567"/>
        <w:jc w:val="both"/>
      </w:pPr>
      <w:r>
        <w:rPr>
          <w:b/>
        </w:rPr>
        <w:t>4.1</w:t>
        <w:tab/>
      </w:r>
      <w:r>
        <w:t>O sigilo profissional é inerente à advocacia. Antes de inserir qualquer informação em ferramenta de IA, o usuário deve observar a LGPD e a classificação do Anexo II (Recomendação, itens 2.1 e 2.5).</w:t>
      </w:r>
    </w:p>
    <w:p>
      <w:pPr>
        <w:ind w:left="567" w:hanging="567"/>
        <w:jc w:val="both"/>
      </w:pPr>
      <w:r>
        <w:rPr>
          <w:b/>
        </w:rPr>
        <w:t>4.2</w:t>
        <w:tab/>
      </w:r>
      <w:r>
        <w:t>É proibido inserir em ferramenta de IA aberta ou não aprovada: dados pessoais de clientes e de terceiros; documentos e provas do cliente; informações sob segredo de justiça ou sigilo; dados pessoais sensíveis; senhas, chaves e credenciais.</w:t>
      </w:r>
    </w:p>
    <w:p>
      <w:pPr>
        <w:ind w:left="567" w:hanging="567"/>
        <w:jc w:val="both"/>
      </w:pPr>
      <w:r>
        <w:rPr>
          <w:b/>
        </w:rPr>
        <w:t>4.3</w:t>
        <w:tab/>
      </w:r>
      <w:r>
        <w:t>O uso de informação do caso só é permitido em ferramenta aprovada para essa finalidade ou depois de anonimizada conforme o Anexo III, com atenção especial ao que, mesmo sem o nome, possa tornar o cliente identificável (número de processo, combinação de cargo, cidade, datas e valores, caso de repercussão pública, metadados de arquivo).</w:t>
      </w:r>
    </w:p>
    <w:p>
      <w:pPr>
        <w:ind w:left="567" w:hanging="567"/>
        <w:jc w:val="both"/>
      </w:pPr>
      <w:r>
        <w:rPr>
          <w:b/>
        </w:rPr>
        <w:t>4.4</w:t>
        <w:tab/>
      </w:r>
      <w:r>
        <w:t>O usuário não pede à própria ferramenta que anonimize o documento original, porque isso exigiria enviá-lo antes de protegê-lo.</w:t>
      </w:r>
    </w:p>
    <w:p>
      <w:pPr>
        <w:pStyle w:val="Heading2"/>
      </w:pPr>
      <w:r>
        <w:t>5. Julgamento profissional e atos privativos</w:t>
      </w:r>
    </w:p>
    <w:p>
      <w:pPr>
        <w:ind w:left="567" w:hanging="567"/>
        <w:jc w:val="both"/>
      </w:pPr>
      <w:r>
        <w:rPr>
          <w:b/>
        </w:rPr>
        <w:t>5.1</w:t>
        <w:tab/>
      </w:r>
      <w:r>
        <w:t>A IA é instrumento de apoio. O julgamento profissional não é feito por sistema de IA sem supervisão humana, e nenhuma atividade privativa da advocacia é delegada a ele (Recomendação, item 3.1).</w:t>
      </w:r>
    </w:p>
    <w:p>
      <w:pPr>
        <w:ind w:left="567" w:hanging="567"/>
        <w:jc w:val="both"/>
      </w:pPr>
      <w:r>
        <w:rPr>
          <w:b/>
        </w:rPr>
        <w:t>5.2</w:t>
        <w:tab/>
      </w:r>
      <w:r>
        <w:t>A dependência excessiva da ferramenta é incompatível com a prática da advocacia e não substitui a análise do advogado (item 3.3). Estratégia processual, escolha de teses, orientação final ao cliente e assinatura de peças são sempre humanas.</w:t>
      </w:r>
    </w:p>
    <w:p>
      <w:pPr>
        <w:ind w:left="567" w:hanging="567"/>
        <w:jc w:val="both"/>
      </w:pPr>
      <w:r>
        <w:rPr>
          <w:b/>
        </w:rPr>
        <w:t>5.3</w:t>
        <w:tab/>
      </w:r>
      <w:r>
        <w:t>Tarefas permitidas, desde que respeitadas as cláusulas 3, 4 e 6: [EXEMPLOS, como resumir lei, doutrina e texto público; sugerir estrutura de documento; revisar redação sem dado de cliente; traduzir texto público]. Tarefas proibidas: [EXEMPLOS, como decidir estratégia; enviar peça ou parecer sem revisão integral; usar a ferramenta para definir fatos que o cliente não informou].</w:t>
      </w:r>
    </w:p>
    <w:p>
      <w:pPr>
        <w:pStyle w:val="Heading2"/>
      </w:pPr>
      <w:r>
        <w:t>6. Conferência de conteúdo e litígios</w:t>
      </w:r>
    </w:p>
    <w:p>
      <w:pPr>
        <w:ind w:left="567" w:hanging="567"/>
        <w:jc w:val="both"/>
      </w:pPr>
      <w:r>
        <w:rPr>
          <w:b/>
        </w:rPr>
        <w:t>6.1</w:t>
        <w:tab/>
      </w:r>
      <w:r>
        <w:t>Toda lei, súmula, precedente, citação doutrinária e dado factual sugerido por IA é aberto e conferido na fonte oficial antes de ser usado. Citação não localizada na fonte é descartada.</w:t>
      </w:r>
    </w:p>
    <w:p>
      <w:pPr>
        <w:ind w:left="567" w:hanging="567"/>
        <w:jc w:val="both"/>
      </w:pPr>
      <w:r>
        <w:rPr>
          <w:b/>
        </w:rPr>
        <w:t>6.2</w:t>
        <w:tab/>
      </w:r>
      <w:r>
        <w:t>Em peças e documentos apresentados a tribunais, o advogado revisa integralmente o resultado gerado por IA, não confia exclusivamente nele e responde pela veracidade das informações, nos termos do art. 77 do Código de Processo Civil (Recomendação, itens 3.2 e 3.7).</w:t>
      </w:r>
    </w:p>
    <w:p>
      <w:pPr>
        <w:ind w:left="567" w:hanging="567"/>
        <w:jc w:val="both"/>
      </w:pPr>
      <w:r>
        <w:rPr>
          <w:b/>
        </w:rPr>
        <w:t>6.3</w:t>
        <w:tab/>
      </w:r>
      <w:r>
        <w:t>O revisor registra a conferência antes da saída do documento (Anexo IV). Quem assina ou envia o documento responde pelo seu conteúdo, sem transferir a responsabilidade à ferramenta nem a quem a operou.</w:t>
      </w:r>
    </w:p>
    <w:p>
      <w:pPr>
        <w:pStyle w:val="Heading2"/>
      </w:pPr>
      <w:r>
        <w:t>7. Comunicação com o cliente</w:t>
      </w:r>
    </w:p>
    <w:p>
      <w:pPr>
        <w:ind w:left="567" w:hanging="567"/>
        <w:jc w:val="both"/>
      </w:pPr>
      <w:r>
        <w:rPr>
          <w:b/>
        </w:rPr>
        <w:t>7.1</w:t>
        <w:tab/>
      </w:r>
      <w:r>
        <w:t>Antes de iniciar o uso de IA na prestação do serviço, o escritório formaliza a intenção ao cliente, por documento escrito, em linguagem clara e acessível (Recomendação, itens 4.1.1 e 4.2.1).</w:t>
      </w:r>
    </w:p>
    <w:p>
      <w:pPr>
        <w:ind w:left="567" w:hanging="567"/>
        <w:jc w:val="both"/>
      </w:pPr>
      <w:r>
        <w:rPr>
          <w:b/>
        </w:rPr>
        <w:t>7.2</w:t>
        <w:tab/>
      </w:r>
      <w:r>
        <w:t>O documento explica: (i) o propósito do uso de IA na defesa dos direitos do cliente; (ii) os benefícios e as limitações da tecnologia no caso; (iii) os riscos, como a precisão das informações e a exposição de dados; (iv) as medidas de segurança e confidencialidade adotadas; e (v) a possibilidade de revisão humana dos resultados. O modelo está no Anexo V.</w:t>
      </w:r>
    </w:p>
    <w:p>
      <w:pPr>
        <w:ind w:left="567" w:hanging="567"/>
        <w:jc w:val="both"/>
      </w:pPr>
      <w:r>
        <w:rPr>
          <w:b/>
        </w:rPr>
        <w:t>7.3</w:t>
        <w:tab/>
      </w:r>
      <w:r>
        <w:t>O cliente expressa consentimento informado e explícito, por assinatura do documento. Se não consentir, o escritório respeita a decisão e informa outras abordagens, tecnológicas ou manuais, para a defesa dos direitos (itens 4.3.1 e 4.3.2).</w:t>
      </w:r>
    </w:p>
    <w:p>
      <w:pPr>
        <w:ind w:left="567" w:hanging="567"/>
        <w:jc w:val="both"/>
      </w:pPr>
      <w:r>
        <w:rPr>
          <w:b/>
        </w:rPr>
        <w:t>7.4</w:t>
        <w:tab/>
      </w:r>
      <w:r>
        <w:t>O documento fica arquivado até o fim da prestação do serviço, acessível para consulta e auditoria, e a formalização vale para qualquer fase em que se decida usar IA, seja em peças, pesquisa, análise de documentos ou outra atividade (itens 4.3.3 e 4.3.4).</w:t>
      </w:r>
    </w:p>
    <w:p>
      <w:pPr>
        <w:ind w:left="567" w:hanging="567"/>
        <w:jc w:val="both"/>
      </w:pPr>
      <w:r>
        <w:rPr>
          <w:b/>
        </w:rPr>
        <w:t>7.5</w:t>
        <w:tab/>
      </w:r>
      <w:r>
        <w:t>A comunicação com o cliente não é feita apenas com conteúdo gerado por IA. O cliente pode pedir atendimento por uma pessoa a qualquer momento (item 4.3).</w:t>
      </w:r>
    </w:p>
    <w:p>
      <w:pPr>
        <w:pStyle w:val="Heading2"/>
      </w:pPr>
      <w:r>
        <w:t>8. Registro de uso</w:t>
      </w:r>
    </w:p>
    <w:p>
      <w:pPr>
        <w:ind w:left="567" w:hanging="567"/>
        <w:jc w:val="both"/>
      </w:pPr>
      <w:r>
        <w:rPr>
          <w:b/>
        </w:rPr>
        <w:t>8.1</w:t>
        <w:tab/>
      </w:r>
      <w:r>
        <w:t>O uso de IA em casos de clientes é anotado no registro do Anexo IV, com data, caso (por código, sem o nome), ferramenta, tarefa, responsável e revisor.</w:t>
      </w:r>
    </w:p>
    <w:p>
      <w:pPr>
        <w:ind w:left="567" w:hanging="567"/>
        <w:jc w:val="both"/>
      </w:pPr>
      <w:r>
        <w:rPr>
          <w:b/>
        </w:rPr>
        <w:t>8.2</w:t>
        <w:tab/>
      </w:r>
      <w:r>
        <w:t>O responsável revisa o registro a cada [PERÍODO] e usa o resultado para ajustar a lista de ferramentas, o treinamento e esta política.</w:t>
      </w:r>
    </w:p>
    <w:p>
      <w:pPr>
        <w:pStyle w:val="Heading2"/>
      </w:pPr>
      <w:r>
        <w:t>9. Atendimento virtual e chatbots</w:t>
      </w:r>
    </w:p>
    <w:p>
      <w:pPr>
        <w:ind w:left="567" w:hanging="567"/>
        <w:jc w:val="both"/>
      </w:pPr>
      <w:r>
        <w:rPr>
          <w:b/>
        </w:rPr>
        <w:t>9.1</w:t>
        <w:tab/>
      </w:r>
      <w:r>
        <w:t>Assistentes virtuais de atendimento não realizam atividade privativa da advocacia e informam de modo transparente que se trata de uma máquina (Recomendação, item 2.4). [Mantenha esta cláusula apenas se o escritório usar atendimento automatizado.]</w:t>
      </w:r>
    </w:p>
    <w:p>
      <w:pPr>
        <w:pStyle w:val="Heading2"/>
      </w:pPr>
      <w:r>
        <w:t>10. Incidentes</w:t>
      </w:r>
    </w:p>
    <w:p>
      <w:pPr>
        <w:ind w:left="567" w:hanging="567"/>
        <w:jc w:val="both"/>
      </w:pPr>
      <w:r>
        <w:rPr>
          <w:b/>
        </w:rPr>
        <w:t>10.1</w:t>
        <w:tab/>
      </w:r>
      <w:r>
        <w:t>Quem perceber que enviou dado indevido a uma ferramenta, ou que uma conta foi acessada sem autorização, avisa o responsável imediatamente. Comunicar o incidente não gera punição por si só.</w:t>
      </w:r>
    </w:p>
    <w:p>
      <w:pPr>
        <w:ind w:left="567" w:hanging="567"/>
        <w:jc w:val="both"/>
      </w:pPr>
      <w:r>
        <w:rPr>
          <w:b/>
        </w:rPr>
        <w:t>10.2</w:t>
        <w:tab/>
      </w:r>
      <w:r>
        <w:t>O responsável segue o plano do Anexo VI: contém o dano, pede exclusão ao fornecedor, avalia o risco aos titulares e decide sobre a comunicação ao cliente e à Autoridade Nacional de Proteção de Dados, nos termos do art. 48 da LGPD.</w:t>
      </w:r>
    </w:p>
    <w:p>
      <w:pPr>
        <w:pStyle w:val="Heading2"/>
      </w:pPr>
      <w:r>
        <w:t>11. Capacitação e supervisão</w:t>
      </w:r>
    </w:p>
    <w:p>
      <w:pPr>
        <w:ind w:left="567" w:hanging="567"/>
        <w:jc w:val="both"/>
      </w:pPr>
      <w:r>
        <w:rPr>
          <w:b/>
        </w:rPr>
        <w:t>11.1</w:t>
        <w:tab/>
      </w:r>
      <w:r>
        <w:t>Todo usuário recebe orientação sobre esta política ao ingressar e participa de capacitação a cada [PERÍODO], com exemplos da rotina do escritório (Recomendação, itens 3.5, 3.6 e 3.8).</w:t>
      </w:r>
    </w:p>
    <w:p>
      <w:pPr>
        <w:ind w:left="567" w:hanging="567"/>
        <w:jc w:val="both"/>
      </w:pPr>
      <w:r>
        <w:rPr>
          <w:b/>
        </w:rPr>
        <w:t>11.2</w:t>
        <w:tab/>
      </w:r>
      <w:r>
        <w:t>Estagiários e assistentes só usam IA em tarefas liberadas, e os resultados são revistos por advogado responsável antes de qualquer saída.</w:t>
      </w:r>
    </w:p>
    <w:p>
      <w:pPr>
        <w:ind w:left="567" w:hanging="567"/>
        <w:jc w:val="both"/>
      </w:pPr>
      <w:r>
        <w:rPr>
          <w:b/>
        </w:rPr>
        <w:t>11.3</w:t>
        <w:tab/>
      </w:r>
      <w:r>
        <w:t>O escritório consulta profissional qualificado quando necessário para garantir o uso ético e competente das ferramentas.</w:t>
      </w:r>
    </w:p>
    <w:p>
      <w:pPr>
        <w:pStyle w:val="Heading2"/>
      </w:pPr>
      <w:r>
        <w:t>12. Vigência, revisão e descumprimento</w:t>
      </w:r>
    </w:p>
    <w:p>
      <w:pPr>
        <w:ind w:left="567" w:hanging="567"/>
        <w:jc w:val="both"/>
      </w:pPr>
      <w:r>
        <w:rPr>
          <w:b/>
        </w:rPr>
        <w:t>12.1</w:t>
        <w:tab/>
      </w:r>
      <w:r>
        <w:t>Esta política vigora a partir da data indicada na capa e é revista a cada [PERÍODO] e sempre que houver mudança de ferramenta, de contrato com fornecedor, de norma ou de orientação da OAB (Recomendação, item 5.1).</w:t>
      </w:r>
    </w:p>
    <w:p>
      <w:pPr>
        <w:ind w:left="567" w:hanging="567"/>
        <w:jc w:val="both"/>
      </w:pPr>
      <w:r>
        <w:rPr>
          <w:b/>
        </w:rPr>
        <w:t>12.2</w:t>
        <w:tab/>
      </w:r>
      <w:r>
        <w:t>O descumprimento é tratado de forma proporcional à gravidade e à reincidência, conforme [CONTRATO, REGIMENTO INTERNO OU ACORDO COM ASSOCIADOS]. Cada usuário assina o termo de ciência do Anexo VII.</w:t>
      </w:r>
    </w:p>
    <w:p>
      <w:r>
        <w:br w:type="page"/>
      </w:r>
    </w:p>
    <w:p>
      <w:pPr>
        <w:pStyle w:val="Heading1"/>
      </w:pPr>
      <w:r>
        <w:t>ANEXO I. Ferramentas aprovadas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518"/>
      </w:tblGrid>
      <w:tr>
        <w:tc>
          <w:tcPr>
            <w:tcW w:type="dxa" w:w="9518"/>
            <w:shd w:val="clear" w:color="auto" w:fill="FFF6DB"/>
          </w:tcPr>
          <w:p>
            <w:r>
              <w:rPr>
                <w:b/>
                <w:sz w:val="19"/>
              </w:rPr>
              <w:t xml:space="preserve">Como preencher: </w:t>
            </w:r>
            <w:r>
              <w:rPr>
                <w:i/>
                <w:sz w:val="19"/>
              </w:rPr>
              <w:t>Liste só o que o escritório realmente usa e que passou pela análise da cláusula 3.2. Informe o plano exato, porque as regras de dados mudam entre versões gratuita, individual e empresarial.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041"/>
        <w:gridCol w:w="1701"/>
        <w:gridCol w:w="1927"/>
        <w:gridCol w:w="1927"/>
        <w:gridCol w:w="1360"/>
      </w:tblGrid>
      <w:tr>
        <w:tc>
          <w:tcPr>
            <w:tcW w:type="dxa" w:w="2041"/>
            <w:shd w:val="clear" w:color="auto" w:fill="142B4D"/>
          </w:tcPr>
          <w:p>
            <w:pPr>
              <w:spacing w:before="60" w:after="60"/>
            </w:pPr>
            <w:r>
              <w:rPr>
                <w:b/>
                <w:color w:val="FFFFFF"/>
                <w:sz w:val="20"/>
              </w:rPr>
              <w:t>Ferramenta e versão</w:t>
            </w:r>
          </w:p>
        </w:tc>
        <w:tc>
          <w:tcPr>
            <w:tcW w:type="dxa" w:w="1701"/>
            <w:shd w:val="clear" w:color="auto" w:fill="142B4D"/>
          </w:tcPr>
          <w:p>
            <w:pPr>
              <w:spacing w:before="60" w:after="60"/>
            </w:pPr>
            <w:r>
              <w:rPr>
                <w:b/>
                <w:color w:val="FFFFFF"/>
                <w:sz w:val="20"/>
              </w:rPr>
              <w:t>Plano contratado</w:t>
            </w:r>
          </w:p>
        </w:tc>
        <w:tc>
          <w:tcPr>
            <w:tcW w:type="dxa" w:w="1928"/>
            <w:shd w:val="clear" w:color="auto" w:fill="142B4D"/>
          </w:tcPr>
          <w:p>
            <w:pPr>
              <w:spacing w:before="60" w:after="60"/>
            </w:pPr>
            <w:r>
              <w:rPr>
                <w:b/>
                <w:color w:val="FFFFFF"/>
                <w:sz w:val="20"/>
              </w:rPr>
              <w:t>Uso permitido</w:t>
            </w:r>
          </w:p>
        </w:tc>
        <w:tc>
          <w:tcPr>
            <w:tcW w:type="dxa" w:w="1928"/>
            <w:shd w:val="clear" w:color="auto" w:fill="142B4D"/>
          </w:tcPr>
          <w:p>
            <w:pPr>
              <w:spacing w:before="60" w:after="60"/>
            </w:pPr>
            <w:r>
              <w:rPr>
                <w:b/>
                <w:color w:val="FFFFFF"/>
                <w:sz w:val="20"/>
              </w:rPr>
              <w:t>Dados permitidos (Anexo II)</w:t>
            </w:r>
          </w:p>
        </w:tc>
        <w:tc>
          <w:tcPr>
            <w:tcW w:type="dxa" w:w="1361"/>
            <w:shd w:val="clear" w:color="auto" w:fill="142B4D"/>
          </w:tcPr>
          <w:p>
            <w:pPr>
              <w:spacing w:before="60" w:after="60"/>
            </w:pPr>
            <w:r>
              <w:rPr>
                <w:b/>
                <w:color w:val="FFFFFF"/>
                <w:sz w:val="20"/>
              </w:rPr>
              <w:t>Aprovada em / por</w:t>
            </w:r>
          </w:p>
        </w:tc>
      </w:tr>
      <w:tr>
        <w:tc>
          <w:tcPr>
            <w:tcW w:type="dxa" w:w="2041"/>
          </w:tcPr>
          <w:p>
            <w:pPr>
              <w:spacing w:before="60"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1928"/>
          </w:tcPr>
          <w:p>
            <w:pPr>
              <w:spacing w:before="60"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1928"/>
          </w:tcPr>
          <w:p>
            <w:pPr>
              <w:spacing w:before="60"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rPr>
                <w:sz w:val="20"/>
              </w:rPr>
              <w:t>[ ]</w:t>
            </w:r>
          </w:p>
        </w:tc>
      </w:tr>
      <w:tr>
        <w:tc>
          <w:tcPr>
            <w:tcW w:type="dxa" w:w="2041"/>
          </w:tcPr>
          <w:p>
            <w:pPr>
              <w:spacing w:before="60"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1928"/>
          </w:tcPr>
          <w:p>
            <w:pPr>
              <w:spacing w:before="60"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1928"/>
          </w:tcPr>
          <w:p>
            <w:pPr>
              <w:spacing w:before="60"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rPr>
                <w:sz w:val="20"/>
              </w:rPr>
              <w:t>[ ]</w:t>
            </w:r>
          </w:p>
        </w:tc>
      </w:tr>
      <w:tr>
        <w:tc>
          <w:tcPr>
            <w:tcW w:type="dxa" w:w="2041"/>
          </w:tcPr>
          <w:p>
            <w:pPr>
              <w:spacing w:before="60"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1928"/>
          </w:tcPr>
          <w:p>
            <w:pPr>
              <w:spacing w:before="60"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1928"/>
          </w:tcPr>
          <w:p>
            <w:pPr>
              <w:spacing w:before="60"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rPr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pStyle w:val="Heading1"/>
      </w:pPr>
      <w:r>
        <w:t>ANEXO II. Classificação de dados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1360"/>
        <w:gridCol w:w="4309"/>
        <w:gridCol w:w="3515"/>
      </w:tblGrid>
      <w:tr>
        <w:tc>
          <w:tcPr>
            <w:tcW w:type="dxa" w:w="1361"/>
            <w:shd w:val="clear" w:color="auto" w:fill="142B4D"/>
          </w:tcPr>
          <w:p>
            <w:pPr>
              <w:spacing w:before="60" w:after="60"/>
            </w:pPr>
            <w:r>
              <w:rPr>
                <w:b/>
                <w:color w:val="FFFFFF"/>
                <w:sz w:val="20"/>
              </w:rPr>
              <w:t>Nível</w:t>
            </w:r>
          </w:p>
        </w:tc>
        <w:tc>
          <w:tcPr>
            <w:tcW w:type="dxa" w:w="4309"/>
            <w:shd w:val="clear" w:color="auto" w:fill="142B4D"/>
          </w:tcPr>
          <w:p>
            <w:pPr>
              <w:spacing w:before="60" w:after="60"/>
            </w:pPr>
            <w:r>
              <w:rPr>
                <w:b/>
                <w:color w:val="FFFFFF"/>
                <w:sz w:val="20"/>
              </w:rPr>
              <w:t>O que é</w:t>
            </w:r>
          </w:p>
        </w:tc>
        <w:tc>
          <w:tcPr>
            <w:tcW w:type="dxa" w:w="3515"/>
            <w:shd w:val="clear" w:color="auto" w:fill="142B4D"/>
          </w:tcPr>
          <w:p>
            <w:pPr>
              <w:spacing w:before="60" w:after="60"/>
            </w:pPr>
            <w:r>
              <w:rPr>
                <w:b/>
                <w:color w:val="FFFFFF"/>
                <w:sz w:val="20"/>
              </w:rPr>
              <w:t>Regra de uso</w:t>
            </w:r>
          </w:p>
        </w:tc>
      </w:tr>
      <w:tr>
        <w:tc>
          <w:tcPr>
            <w:tcW w:type="dxa" w:w="1361"/>
            <w:shd w:val="clear" w:color="auto" w:fill="D9F0DD"/>
          </w:tcPr>
          <w:p>
            <w:pPr>
              <w:spacing w:before="60" w:after="60"/>
            </w:pPr>
            <w:r>
              <w:rPr>
                <w:sz w:val="20"/>
              </w:rPr>
              <w:t>VERDE</w:t>
            </w:r>
          </w:p>
        </w:tc>
        <w:tc>
          <w:tcPr>
            <w:tcW w:type="dxa" w:w="4309"/>
          </w:tcPr>
          <w:p>
            <w:pPr>
              <w:spacing w:before="60" w:after="60"/>
            </w:pPr>
            <w:r>
              <w:rPr>
                <w:sz w:val="20"/>
              </w:rPr>
              <w:t>Texto público, lei, doutrina, ideia genérica, rascunho sem dado de cliente, funcionário ou terceiro.</w:t>
            </w:r>
          </w:p>
        </w:tc>
        <w:tc>
          <w:tcPr>
            <w:tcW w:type="dxa" w:w="3515"/>
          </w:tcPr>
          <w:p>
            <w:pPr>
              <w:spacing w:before="60" w:after="60"/>
            </w:pPr>
            <w:r>
              <w:rPr>
                <w:sz w:val="20"/>
              </w:rPr>
              <w:t>Pode usar em ferramenta aprovada.</w:t>
            </w:r>
          </w:p>
        </w:tc>
      </w:tr>
      <w:tr>
        <w:tc>
          <w:tcPr>
            <w:tcW w:type="dxa" w:w="1361"/>
            <w:shd w:val="clear" w:color="auto" w:fill="FFF2B8"/>
          </w:tcPr>
          <w:p>
            <w:pPr>
              <w:spacing w:before="60" w:after="60"/>
            </w:pPr>
            <w:r>
              <w:rPr>
                <w:sz w:val="20"/>
              </w:rPr>
              <w:t>AMARELO</w:t>
            </w:r>
          </w:p>
        </w:tc>
        <w:tc>
          <w:tcPr>
            <w:tcW w:type="dxa" w:w="4309"/>
          </w:tcPr>
          <w:p>
            <w:pPr>
              <w:spacing w:before="60" w:after="60"/>
            </w:pPr>
            <w:r>
              <w:rPr>
                <w:sz w:val="20"/>
              </w:rPr>
              <w:t>Informação interna sem pessoa identificável (modelos, rotinas, textos de política) e caso anonimizado conforme o Anexo III.</w:t>
            </w:r>
          </w:p>
        </w:tc>
        <w:tc>
          <w:tcPr>
            <w:tcW w:type="dxa" w:w="3515"/>
          </w:tcPr>
          <w:p>
            <w:pPr>
              <w:spacing w:before="60" w:after="60"/>
            </w:pPr>
            <w:r>
              <w:rPr>
                <w:sz w:val="20"/>
              </w:rPr>
              <w:t>Somente em conta corporativa de ferramenta aprovada para essa finalidade e com registro.</w:t>
            </w:r>
          </w:p>
        </w:tc>
      </w:tr>
      <w:tr>
        <w:tc>
          <w:tcPr>
            <w:tcW w:type="dxa" w:w="1361"/>
            <w:shd w:val="clear" w:color="auto" w:fill="F8CFCB"/>
          </w:tcPr>
          <w:p>
            <w:pPr>
              <w:spacing w:before="60" w:after="60"/>
            </w:pPr>
            <w:r>
              <w:rPr>
                <w:sz w:val="20"/>
              </w:rPr>
              <w:t>VERMELHO</w:t>
            </w:r>
          </w:p>
        </w:tc>
        <w:tc>
          <w:tcPr>
            <w:tcW w:type="dxa" w:w="4309"/>
          </w:tcPr>
          <w:p>
            <w:pPr>
              <w:spacing w:before="60" w:after="60"/>
            </w:pPr>
            <w:r>
              <w:rPr>
                <w:sz w:val="20"/>
              </w:rPr>
              <w:t>Dado pessoal de cliente ou terceiro, documentos e provas, segredo de justiça, dado sensível, credenciais, informação financeira não pública.</w:t>
            </w:r>
          </w:p>
        </w:tc>
        <w:tc>
          <w:tcPr>
            <w:tcW w:type="dxa" w:w="3515"/>
          </w:tcPr>
          <w:p>
            <w:pPr>
              <w:spacing w:before="60" w:after="60"/>
            </w:pPr>
            <w:r>
              <w:rPr>
                <w:sz w:val="20"/>
              </w:rPr>
              <w:t>Nunca em ferramenta de IA aberta. Só em solução contratada, avaliada e autorizada pelos sócios para esse fim.</w:t>
            </w:r>
          </w:p>
        </w:tc>
      </w:tr>
    </w:tbl>
    <w:p>
      <w:pPr>
        <w:spacing w:after="40"/>
      </w:pPr>
    </w:p>
    <w:p>
      <w:pPr>
        <w:pStyle w:val="Heading1"/>
      </w:pPr>
      <w:r>
        <w:t>ANEXO III. Procedimento de anonimização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518"/>
      </w:tblGrid>
      <w:tr>
        <w:tc>
          <w:tcPr>
            <w:tcW w:type="dxa" w:w="9518"/>
            <w:shd w:val="clear" w:color="auto" w:fill="FFF6DB"/>
          </w:tcPr>
          <w:p>
            <w:r>
              <w:rPr>
                <w:b/>
                <w:sz w:val="19"/>
              </w:rPr>
              <w:t xml:space="preserve">Como preencher: </w:t>
            </w:r>
            <w:r>
              <w:rPr>
                <w:i/>
                <w:sz w:val="19"/>
              </w:rPr>
              <w:t>O procedimento reduz o risco, mas não o elimina. Se o caso é conhecido na imprensa ou na cidade, ou se há uma única pessoa com aquele perfil, o texto não deve sair do escritório mesmo trocado.</w:t>
            </w:r>
          </w:p>
        </w:tc>
      </w:tr>
    </w:tbl>
    <w:p>
      <w:pPr>
        <w:spacing w:after="40"/>
      </w:pPr>
    </w:p>
    <w:p>
      <w:pPr>
        <w:ind w:left="567" w:hanging="567"/>
        <w:jc w:val="both"/>
      </w:pPr>
      <w:r>
        <w:rPr>
          <w:b/>
        </w:rPr>
        <w:t>1.</w:t>
        <w:tab/>
      </w:r>
      <w:r>
        <w:t>Listar o que identifica: nome, CPF, endereço, contatos, número de processo, matrícula, cargo raro, cidade pequena, datas e valores exatos, enredo notório, metadados e nome do arquivo, imagens e anexos.</w:t>
      </w:r>
    </w:p>
    <w:p>
      <w:pPr>
        <w:ind w:left="567" w:hanging="567"/>
        <w:jc w:val="both"/>
      </w:pPr>
      <w:r>
        <w:rPr>
          <w:b/>
        </w:rPr>
        <w:t>2.</w:t>
        <w:tab/>
      </w:r>
      <w:r>
        <w:t>Trocar cada identificador por marcador fixo, sempre o mesmo para a mesma pessoa (por exemplo, [CLIENTE_A], [EMPRESA_B], [PROC_1]).</w:t>
      </w:r>
    </w:p>
    <w:p>
      <w:pPr>
        <w:ind w:left="567" w:hanging="567"/>
        <w:jc w:val="both"/>
      </w:pPr>
      <w:r>
        <w:rPr>
          <w:b/>
        </w:rPr>
        <w:t>3.</w:t>
        <w:tab/>
      </w:r>
      <w:r>
        <w:t>Guardar a tabela de troca no escritório, em pasta com acesso restrito, nunca na conversa com a ferramenta.</w:t>
      </w:r>
    </w:p>
    <w:p>
      <w:pPr>
        <w:ind w:left="567" w:hanging="567"/>
        <w:jc w:val="both"/>
      </w:pPr>
      <w:r>
        <w:rPr>
          <w:b/>
        </w:rPr>
        <w:t>4.</w:t>
        <w:tab/>
      </w:r>
      <w:r>
        <w:t>Copiar o texto para um arquivo novo, em branco, com nome neutro, sem comentários, revisões ou imagens desnecessárias.</w:t>
      </w:r>
    </w:p>
    <w:p>
      <w:pPr>
        <w:ind w:left="567" w:hanging="567"/>
        <w:jc w:val="both"/>
      </w:pPr>
      <w:r>
        <w:rPr>
          <w:b/>
        </w:rPr>
        <w:t>5.</w:t>
        <w:tab/>
      </w:r>
      <w:r>
        <w:t>Fazer o teste do estranho: pedir a alguém de fora do caso que leia o texto e tente descobrir quem é o cliente. Se acertar, tirar mais detalhe ou não enviar.</w:t>
      </w:r>
    </w:p>
    <w:p>
      <w:pPr>
        <w:ind w:left="567" w:hanging="567"/>
        <w:jc w:val="both"/>
      </w:pPr>
      <w:r>
        <w:rPr>
          <w:b/>
        </w:rPr>
        <w:t>6.</w:t>
        <w:tab/>
      </w:r>
      <w:r>
        <w:t>Reinserir os dados apenas no escritório e conferir cada informação e cada citação do resultado.</w:t>
      </w:r>
    </w:p>
    <w:p>
      <w:pPr>
        <w:pStyle w:val="Heading1"/>
      </w:pPr>
      <w:r>
        <w:t>ANEXO IV. Registro de uso e conferência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1020"/>
        <w:gridCol w:w="1360"/>
        <w:gridCol w:w="1474"/>
        <w:gridCol w:w="1927"/>
        <w:gridCol w:w="1474"/>
        <w:gridCol w:w="1927"/>
      </w:tblGrid>
      <w:tr>
        <w:tc>
          <w:tcPr>
            <w:tcW w:type="dxa" w:w="1020"/>
            <w:shd w:val="clear" w:color="auto" w:fill="142B4D"/>
          </w:tcPr>
          <w:p>
            <w:pPr>
              <w:spacing w:before="60" w:after="60"/>
            </w:pPr>
            <w:r>
              <w:rPr>
                <w:b/>
                <w:color w:val="FFFFFF"/>
                <w:sz w:val="20"/>
              </w:rPr>
              <w:t>Data</w:t>
            </w:r>
          </w:p>
        </w:tc>
        <w:tc>
          <w:tcPr>
            <w:tcW w:type="dxa" w:w="1361"/>
            <w:shd w:val="clear" w:color="auto" w:fill="142B4D"/>
          </w:tcPr>
          <w:p>
            <w:pPr>
              <w:spacing w:before="60" w:after="60"/>
            </w:pPr>
            <w:r>
              <w:rPr>
                <w:b/>
                <w:color w:val="FFFFFF"/>
                <w:sz w:val="20"/>
              </w:rPr>
              <w:t>Caso (código)</w:t>
            </w:r>
          </w:p>
        </w:tc>
        <w:tc>
          <w:tcPr>
            <w:tcW w:type="dxa" w:w="1474"/>
            <w:shd w:val="clear" w:color="auto" w:fill="142B4D"/>
          </w:tcPr>
          <w:p>
            <w:pPr>
              <w:spacing w:before="60" w:after="60"/>
            </w:pPr>
            <w:r>
              <w:rPr>
                <w:b/>
                <w:color w:val="FFFFFF"/>
                <w:sz w:val="20"/>
              </w:rPr>
              <w:t>Ferramenta</w:t>
            </w:r>
          </w:p>
        </w:tc>
        <w:tc>
          <w:tcPr>
            <w:tcW w:type="dxa" w:w="1928"/>
            <w:shd w:val="clear" w:color="auto" w:fill="142B4D"/>
          </w:tcPr>
          <w:p>
            <w:pPr>
              <w:spacing w:before="60" w:after="60"/>
            </w:pPr>
            <w:r>
              <w:rPr>
                <w:b/>
                <w:color w:val="FFFFFF"/>
                <w:sz w:val="20"/>
              </w:rPr>
              <w:t>Tarefa</w:t>
            </w:r>
          </w:p>
        </w:tc>
        <w:tc>
          <w:tcPr>
            <w:tcW w:type="dxa" w:w="1474"/>
            <w:shd w:val="clear" w:color="auto" w:fill="142B4D"/>
          </w:tcPr>
          <w:p>
            <w:pPr>
              <w:spacing w:before="60" w:after="60"/>
            </w:pPr>
            <w:r>
              <w:rPr>
                <w:b/>
                <w:color w:val="FFFFFF"/>
                <w:sz w:val="20"/>
              </w:rPr>
              <w:t>Responsável</w:t>
            </w:r>
          </w:p>
        </w:tc>
        <w:tc>
          <w:tcPr>
            <w:tcW w:type="dxa" w:w="1928"/>
            <w:shd w:val="clear" w:color="auto" w:fill="142B4D"/>
          </w:tcPr>
          <w:p>
            <w:pPr>
              <w:spacing w:before="60" w:after="60"/>
            </w:pPr>
            <w:r>
              <w:rPr>
                <w:b/>
                <w:color w:val="FFFFFF"/>
                <w:sz w:val="20"/>
              </w:rPr>
              <w:t>Revisor e conferência feita</w:t>
            </w:r>
          </w:p>
        </w:tc>
      </w:tr>
      <w:tr>
        <w:tc>
          <w:tcPr>
            <w:tcW w:type="dxa" w:w="1020"/>
          </w:tcPr>
          <w:p>
            <w:pPr>
              <w:spacing w:before="60"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1474"/>
          </w:tcPr>
          <w:p>
            <w:pPr>
              <w:spacing w:before="60"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1928"/>
          </w:tcPr>
          <w:p>
            <w:pPr>
              <w:spacing w:before="60"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1474"/>
          </w:tcPr>
          <w:p>
            <w:pPr>
              <w:spacing w:before="60"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1928"/>
          </w:tcPr>
          <w:p>
            <w:pPr>
              <w:spacing w:before="60" w:after="60"/>
            </w:pPr>
            <w:r>
              <w:rPr>
                <w:sz w:val="20"/>
              </w:rPr>
              <w:t>[ ]</w:t>
            </w:r>
          </w:p>
        </w:tc>
      </w:tr>
      <w:tr>
        <w:tc>
          <w:tcPr>
            <w:tcW w:type="dxa" w:w="1020"/>
          </w:tcPr>
          <w:p>
            <w:pPr>
              <w:spacing w:before="60"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1474"/>
          </w:tcPr>
          <w:p>
            <w:pPr>
              <w:spacing w:before="60"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1928"/>
          </w:tcPr>
          <w:p>
            <w:pPr>
              <w:spacing w:before="60"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1474"/>
          </w:tcPr>
          <w:p>
            <w:pPr>
              <w:spacing w:before="60"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1928"/>
          </w:tcPr>
          <w:p>
            <w:pPr>
              <w:spacing w:before="60" w:after="60"/>
            </w:pPr>
            <w:r>
              <w:rPr>
                <w:sz w:val="20"/>
              </w:rPr>
              <w:t>[ ]</w:t>
            </w:r>
          </w:p>
        </w:tc>
      </w:tr>
      <w:tr>
        <w:tc>
          <w:tcPr>
            <w:tcW w:type="dxa" w:w="1020"/>
          </w:tcPr>
          <w:p>
            <w:pPr>
              <w:spacing w:before="60"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1474"/>
          </w:tcPr>
          <w:p>
            <w:pPr>
              <w:spacing w:before="60"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1928"/>
          </w:tcPr>
          <w:p>
            <w:pPr>
              <w:spacing w:before="60"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1474"/>
          </w:tcPr>
          <w:p>
            <w:pPr>
              <w:spacing w:before="60"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1928"/>
          </w:tcPr>
          <w:p>
            <w:pPr>
              <w:spacing w:before="60" w:after="60"/>
            </w:pPr>
            <w:r>
              <w:rPr>
                <w:sz w:val="20"/>
              </w:rPr>
              <w:t>[ ]</w:t>
            </w:r>
          </w:p>
        </w:tc>
      </w:tr>
      <w:tr>
        <w:tc>
          <w:tcPr>
            <w:tcW w:type="dxa" w:w="1020"/>
          </w:tcPr>
          <w:p>
            <w:pPr>
              <w:spacing w:before="60"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1474"/>
          </w:tcPr>
          <w:p>
            <w:pPr>
              <w:spacing w:before="60"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1928"/>
          </w:tcPr>
          <w:p>
            <w:pPr>
              <w:spacing w:before="60"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1474"/>
          </w:tcPr>
          <w:p>
            <w:pPr>
              <w:spacing w:before="60" w:after="60"/>
            </w:pPr>
            <w:r>
              <w:rPr>
                <w:sz w:val="20"/>
              </w:rPr>
              <w:t>[ ]</w:t>
            </w:r>
          </w:p>
        </w:tc>
        <w:tc>
          <w:tcPr>
            <w:tcW w:type="dxa" w:w="1928"/>
          </w:tcPr>
          <w:p>
            <w:pPr>
              <w:spacing w:before="60" w:after="60"/>
            </w:pPr>
            <w:r>
              <w:rPr>
                <w:sz w:val="20"/>
              </w:rPr>
              <w:t>[ ]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ANEXO V. Modelo de comunicação e consentimento do cliente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518"/>
      </w:tblGrid>
      <w:tr>
        <w:tc>
          <w:tcPr>
            <w:tcW w:type="dxa" w:w="9518"/>
            <w:shd w:val="clear" w:color="auto" w:fill="FFF6DB"/>
          </w:tcPr>
          <w:p>
            <w:r>
              <w:rPr>
                <w:b/>
                <w:sz w:val="19"/>
              </w:rPr>
              <w:t xml:space="preserve">Como preencher: </w:t>
            </w:r>
            <w:r>
              <w:rPr>
                <w:i/>
                <w:sz w:val="19"/>
              </w:rPr>
              <w:t>Texto para inserir no contrato de prestação de serviços ou usar como termo separado. Ele cobre os cinco conteúdos do item 4.2.1 da Recomendação e o consentimento do item 4.3.1. Ajuste ao caso e arquive junto ao contrato.</w:t>
            </w:r>
          </w:p>
        </w:tc>
      </w:tr>
    </w:tbl>
    <w:p>
      <w:pPr>
        <w:spacing w:after="40"/>
      </w:pPr>
    </w:p>
    <w:p>
      <w:pPr>
        <w:jc w:val="both"/>
      </w:pPr>
      <w:r>
        <w:rPr>
          <w:b/>
        </w:rPr>
        <w:t>TERMO DE CIÊNCIA E CONSENTIMENTO SOBRE O USO DE INTELIGÊNCIA ARTIFICIAL</w:t>
      </w:r>
      <w:r/>
    </w:p>
    <w:p>
      <w:pPr>
        <w:jc w:val="both"/>
      </w:pPr>
      <w:r>
        <w:t>Eu, [NOME DO CLIENTE], [QUALIFICAÇÃO], fui informado(a) por [NOME DO ESCRITÓRIO], antes do início do uso, de que o escritório poderá utilizar ferramentas de inteligência artificial (IA) na prestação dos serviços contratados, nos seguintes termos:</w:t>
      </w:r>
    </w:p>
    <w:p>
      <w:pPr>
        <w:ind w:left="567" w:hanging="567"/>
        <w:jc w:val="both"/>
      </w:pPr>
      <w:r>
        <w:rPr>
          <w:b/>
        </w:rPr>
        <w:t>1.</w:t>
        <w:tab/>
      </w:r>
      <w:r>
        <w:t>Propósito. A IA poderá ser usada como apoio a [PESQUISA JURÍDICA, ORGANIZAÇÃO E ANÁLISE DE DOCUMENTOS, REDAÇÃO DE MINUTAS, TRADUÇÃO, OUTRAS ATIVIDADES], para dar mais agilidade e organização ao meu atendimento. Ela não decide nem substitui o julgamento do advogado.</w:t>
      </w:r>
    </w:p>
    <w:p>
      <w:pPr>
        <w:ind w:left="567" w:hanging="567"/>
        <w:jc w:val="both"/>
      </w:pPr>
      <w:r>
        <w:rPr>
          <w:b/>
        </w:rPr>
        <w:t>2.</w:t>
        <w:tab/>
      </w:r>
      <w:r>
        <w:t>Benefícios e limitações. A ferramenta pode acelerar tarefas, mas pode produzir informações erradas, imprecisas ou enviesadas. Por isso, todo resultado é conferido por advogado antes de ser usado.</w:t>
      </w:r>
    </w:p>
    <w:p>
      <w:pPr>
        <w:ind w:left="567" w:hanging="567"/>
        <w:jc w:val="both"/>
      </w:pPr>
      <w:r>
        <w:rPr>
          <w:b/>
        </w:rPr>
        <w:t>3.</w:t>
        <w:tab/>
      </w:r>
      <w:r>
        <w:t>Riscos. Os riscos envolvem a precisão das informações geradas e a possível exposição de dados. O escritório trata o risco com as medidas descritas no item seguinte.</w:t>
      </w:r>
    </w:p>
    <w:p>
      <w:pPr>
        <w:ind w:left="567" w:hanging="567"/>
        <w:jc w:val="both"/>
      </w:pPr>
      <w:r>
        <w:rPr>
          <w:b/>
        </w:rPr>
        <w:t>4.</w:t>
        <w:tab/>
      </w:r>
      <w:r>
        <w:t>Segurança e confidencialidade. O escritório só usa ferramentas previamente avaliadas, [NÃO ENVIA DOCUMENTOS ORIGINAIS NEM DADOS QUE ME IDENTIFIQUEM A FERRAMENTAS ABERTAS], anonimiza as informações quando necessário, restringe o acesso e mantém registro do uso, respeitando o sigilo profissional e a Lei Geral de Proteção de Dados.</w:t>
      </w:r>
    </w:p>
    <w:p>
      <w:pPr>
        <w:ind w:left="567" w:hanging="567"/>
        <w:jc w:val="both"/>
      </w:pPr>
      <w:r>
        <w:rPr>
          <w:b/>
        </w:rPr>
        <w:t>5.</w:t>
        <w:tab/>
      </w:r>
      <w:r>
        <w:t>Revisão humana. Todo resultado obtido por IA é revisado por advogado, e posso solicitar, a qualquer momento, atendimento por uma pessoa.</w:t>
      </w:r>
    </w:p>
    <w:p>
      <w:pPr>
        <w:ind w:left="567" w:hanging="567"/>
        <w:jc w:val="both"/>
      </w:pPr>
      <w:r>
        <w:rPr>
          <w:b/>
        </w:rPr>
        <w:t>6.</w:t>
        <w:tab/>
      </w:r>
      <w:r>
        <w:t>Consentimento e recusa. Autorizo o uso de IA nos termos acima. Estou ciente de que posso não consentir, caso em que o escritório respeitará minha decisão e me informará outras abordagens, tecnológicas ou manuais, para a defesa dos meus direitos.</w:t>
      </w:r>
    </w:p>
    <w:p>
      <w:pPr>
        <w:jc w:val="both"/>
      </w:pPr>
      <w:r>
        <w:t>[CIDADE], [DATA].</w:t>
      </w:r>
    </w:p>
    <w:p>
      <w:pPr>
        <w:jc w:val="both"/>
      </w:pPr>
      <w:r>
        <w:t>______________________________   ______________________________</w:t>
        <w:br/>
        <w:t>[NOME DO CLIENTE]                                   [NOME DO ADVOGADO RESPONSÁVEL E OAB]</w:t>
      </w:r>
    </w:p>
    <w:p>
      <w:pPr>
        <w:pStyle w:val="Heading1"/>
      </w:pPr>
      <w:r>
        <w:t>ANEXO VI. Plano de resposta a incidente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1587"/>
        <w:gridCol w:w="5329"/>
        <w:gridCol w:w="2268"/>
      </w:tblGrid>
      <w:tr>
        <w:tc>
          <w:tcPr>
            <w:tcW w:type="dxa" w:w="1587"/>
            <w:shd w:val="clear" w:color="auto" w:fill="142B4D"/>
          </w:tcPr>
          <w:p>
            <w:pPr>
              <w:spacing w:before="60" w:after="60"/>
            </w:pPr>
            <w:r>
              <w:rPr>
                <w:b/>
                <w:color w:val="FFFFFF"/>
                <w:sz w:val="20"/>
              </w:rPr>
              <w:t>Etapa</w:t>
            </w:r>
          </w:p>
        </w:tc>
        <w:tc>
          <w:tcPr>
            <w:tcW w:type="dxa" w:w="5329"/>
            <w:shd w:val="clear" w:color="auto" w:fill="142B4D"/>
          </w:tcPr>
          <w:p>
            <w:pPr>
              <w:spacing w:before="60" w:after="60"/>
            </w:pPr>
            <w:r>
              <w:rPr>
                <w:b/>
                <w:color w:val="FFFFFF"/>
                <w:sz w:val="20"/>
              </w:rPr>
              <w:t>O que fazer</w:t>
            </w:r>
          </w:p>
        </w:tc>
        <w:tc>
          <w:tcPr>
            <w:tcW w:type="dxa" w:w="2268"/>
            <w:shd w:val="clear" w:color="auto" w:fill="142B4D"/>
          </w:tcPr>
          <w:p>
            <w:pPr>
              <w:spacing w:before="60" w:after="60"/>
            </w:pPr>
            <w:r>
              <w:rPr>
                <w:b/>
                <w:color w:val="FFFFFF"/>
                <w:sz w:val="20"/>
              </w:rPr>
              <w:t>Quem</w:t>
            </w:r>
          </w:p>
        </w:tc>
      </w:tr>
      <w:tr>
        <w:tc>
          <w:tcPr>
            <w:tcW w:type="dxa" w:w="1587"/>
          </w:tcPr>
          <w:p>
            <w:pPr>
              <w:spacing w:before="60" w:after="60"/>
            </w:pPr>
            <w:r>
              <w:rPr>
                <w:sz w:val="20"/>
              </w:rPr>
              <w:t>1. Conter</w:t>
            </w:r>
          </w:p>
        </w:tc>
        <w:tc>
          <w:tcPr>
            <w:tcW w:type="dxa" w:w="5329"/>
          </w:tcPr>
          <w:p>
            <w:pPr>
              <w:spacing w:before="60" w:after="60"/>
            </w:pPr>
            <w:r>
              <w:rPr>
                <w:sz w:val="20"/>
              </w:rPr>
              <w:t>Parar o uso, trocar senhas, encerrar sessões, guardar prints e horários. Não apagar nada que sirva de prova.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>
              <w:rPr>
                <w:sz w:val="20"/>
              </w:rPr>
              <w:t>Quem percebeu + responsável</w:t>
            </w:r>
          </w:p>
        </w:tc>
      </w:tr>
      <w:tr>
        <w:tc>
          <w:tcPr>
            <w:tcW w:type="dxa" w:w="1587"/>
          </w:tcPr>
          <w:p>
            <w:pPr>
              <w:spacing w:before="60" w:after="60"/>
            </w:pPr>
            <w:r>
              <w:rPr>
                <w:sz w:val="20"/>
              </w:rPr>
              <w:t>2. Avisar</w:t>
            </w:r>
          </w:p>
        </w:tc>
        <w:tc>
          <w:tcPr>
            <w:tcW w:type="dxa" w:w="5329"/>
          </w:tcPr>
          <w:p>
            <w:pPr>
              <w:spacing w:before="60" w:after="60"/>
            </w:pPr>
            <w:r>
              <w:rPr>
                <w:sz w:val="20"/>
              </w:rPr>
              <w:t>Informar o responsável na hora, por canal definido, sem esperar certeza sobre o tamanho do problema.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>
              <w:rPr>
                <w:sz w:val="20"/>
              </w:rPr>
              <w:t>Quem percebeu</w:t>
            </w:r>
          </w:p>
        </w:tc>
      </w:tr>
      <w:tr>
        <w:tc>
          <w:tcPr>
            <w:tcW w:type="dxa" w:w="1587"/>
          </w:tcPr>
          <w:p>
            <w:pPr>
              <w:spacing w:before="60" w:after="60"/>
            </w:pPr>
            <w:r>
              <w:rPr>
                <w:sz w:val="20"/>
              </w:rPr>
              <w:t>3. Avaliar</w:t>
            </w:r>
          </w:p>
        </w:tc>
        <w:tc>
          <w:tcPr>
            <w:tcW w:type="dxa" w:w="5329"/>
          </w:tcPr>
          <w:p>
            <w:pPr>
              <w:spacing w:before="60" w:after="60"/>
            </w:pPr>
            <w:r>
              <w:rPr>
                <w:sz w:val="20"/>
              </w:rPr>
              <w:t>Que dados saíram, de quem, para qual fornecedor, e se há risco ou dano relevante aos titulares.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>
              <w:rPr>
                <w:sz w:val="20"/>
              </w:rPr>
              <w:t>Responsável + sócios</w:t>
            </w:r>
          </w:p>
        </w:tc>
      </w:tr>
      <w:tr>
        <w:tc>
          <w:tcPr>
            <w:tcW w:type="dxa" w:w="1587"/>
          </w:tcPr>
          <w:p>
            <w:pPr>
              <w:spacing w:before="60" w:after="60"/>
            </w:pPr>
            <w:r>
              <w:rPr>
                <w:sz w:val="20"/>
              </w:rPr>
              <w:t>4. Pedir exclusão</w:t>
            </w:r>
          </w:p>
        </w:tc>
        <w:tc>
          <w:tcPr>
            <w:tcW w:type="dxa" w:w="5329"/>
          </w:tcPr>
          <w:p>
            <w:pPr>
              <w:spacing w:before="60" w:after="60"/>
            </w:pPr>
            <w:r>
              <w:rPr>
                <w:sz w:val="20"/>
              </w:rPr>
              <w:t>Solicitar ao fornecedor a exclusão do conteúdo e a confirmação por escrito, e guardar a resposta.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>
              <w:rPr>
                <w:sz w:val="20"/>
              </w:rPr>
              <w:t>Responsável</w:t>
            </w:r>
          </w:p>
        </w:tc>
      </w:tr>
      <w:tr>
        <w:tc>
          <w:tcPr>
            <w:tcW w:type="dxa" w:w="1587"/>
          </w:tcPr>
          <w:p>
            <w:pPr>
              <w:spacing w:before="60" w:after="60"/>
            </w:pPr>
            <w:r>
              <w:rPr>
                <w:sz w:val="20"/>
              </w:rPr>
              <w:t>5. Comunicar</w:t>
            </w:r>
          </w:p>
        </w:tc>
        <w:tc>
          <w:tcPr>
            <w:tcW w:type="dxa" w:w="5329"/>
          </w:tcPr>
          <w:p>
            <w:pPr>
              <w:spacing w:before="60" w:after="60"/>
            </w:pPr>
            <w:r>
              <w:rPr>
                <w:sz w:val="20"/>
              </w:rPr>
              <w:t>Decidir sobre a comunicação ao cliente e à ANPD, nos termos do art. 48 da LGPD, e registrar a decisão e o prazo.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>
              <w:rPr>
                <w:sz w:val="20"/>
              </w:rPr>
              <w:t>Sócios</w:t>
            </w:r>
          </w:p>
        </w:tc>
      </w:tr>
      <w:tr>
        <w:tc>
          <w:tcPr>
            <w:tcW w:type="dxa" w:w="1587"/>
          </w:tcPr>
          <w:p>
            <w:pPr>
              <w:spacing w:before="60" w:after="60"/>
            </w:pPr>
            <w:r>
              <w:rPr>
                <w:sz w:val="20"/>
              </w:rPr>
              <w:t>6. Corrigir</w:t>
            </w:r>
          </w:p>
        </w:tc>
        <w:tc>
          <w:tcPr>
            <w:tcW w:type="dxa" w:w="5329"/>
          </w:tcPr>
          <w:p>
            <w:pPr>
              <w:spacing w:before="60" w:after="60"/>
            </w:pPr>
            <w:r>
              <w:rPr>
                <w:sz w:val="20"/>
              </w:rPr>
              <w:t>Ajustar ferramenta, treinamento ou política e registrar a lição aprendida.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>
              <w:rPr>
                <w:sz w:val="20"/>
              </w:rPr>
              <w:t>Responsável</w:t>
            </w:r>
          </w:p>
        </w:tc>
      </w:tr>
    </w:tbl>
    <w:p>
      <w:pPr>
        <w:spacing w:after="40"/>
      </w:pPr>
    </w:p>
    <w:p>
      <w:pPr>
        <w:pStyle w:val="Heading1"/>
      </w:pPr>
      <w:r>
        <w:t>ANEXO VII. Termo de ciência do usuário</w:t>
      </w:r>
    </w:p>
    <w:p>
      <w:pPr>
        <w:jc w:val="both"/>
      </w:pPr>
      <w:r>
        <w:t>Declaro que li a Política de Uso de Inteligência Artificial de [NOME DO ESCRITÓRIO], versão [1.0], que recebi orientação sobre ela e que me comprometo a cumpri-la, inclusive quanto ao sigilo profissional e à proteção de dados.</w:t>
      </w:r>
    </w:p>
    <w:p>
      <w:pPr>
        <w:jc w:val="both"/>
      </w:pPr>
      <w:r>
        <w:t>Nome: ______________________________   Função: ______________________</w:t>
        <w:br/>
        <w:t>Data: ____/____/________   Assinatura: ______________________________</w:t>
      </w:r>
    </w:p>
    <w:p>
      <w:pPr>
        <w:pStyle w:val="Heading1"/>
      </w:pPr>
      <w:r>
        <w:t>ANEXO VIII. Checklist de implantação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7"/>
        <w:gridCol w:w="7257"/>
        <w:gridCol w:w="1360"/>
      </w:tblGrid>
      <w:tr>
        <w:tc>
          <w:tcPr>
            <w:tcW w:type="dxa" w:w="567"/>
            <w:shd w:val="clear" w:color="auto" w:fill="142B4D"/>
          </w:tcPr>
          <w:p>
            <w:pPr>
              <w:spacing w:before="60" w:after="60"/>
            </w:pPr>
            <w:r>
              <w:rPr>
                <w:b/>
                <w:color w:val="FFFFFF"/>
                <w:sz w:val="20"/>
              </w:rPr>
            </w:r>
          </w:p>
        </w:tc>
        <w:tc>
          <w:tcPr>
            <w:tcW w:type="dxa" w:w="7257"/>
            <w:shd w:val="clear" w:color="auto" w:fill="142B4D"/>
          </w:tcPr>
          <w:p>
            <w:pPr>
              <w:spacing w:before="60" w:after="60"/>
            </w:pPr>
            <w:r>
              <w:rPr>
                <w:b/>
                <w:color w:val="FFFFFF"/>
                <w:sz w:val="20"/>
              </w:rPr>
              <w:t>Passo</w:t>
            </w:r>
          </w:p>
        </w:tc>
        <w:tc>
          <w:tcPr>
            <w:tcW w:type="dxa" w:w="1361"/>
            <w:shd w:val="clear" w:color="auto" w:fill="142B4D"/>
          </w:tcPr>
          <w:p>
            <w:pPr>
              <w:spacing w:before="60" w:after="60"/>
            </w:pPr>
            <w:r>
              <w:rPr>
                <w:b/>
                <w:color w:val="FFFFFF"/>
                <w:sz w:val="20"/>
              </w:rPr>
              <w:t>Feito em</w:t>
            </w:r>
          </w:p>
        </w:tc>
      </w:tr>
      <w:tr>
        <w:tc>
          <w:tcPr>
            <w:tcW w:type="dxa" w:w="567"/>
          </w:tcPr>
          <w:p>
            <w:pPr>
              <w:spacing w:before="60" w:after="60"/>
            </w:pPr>
            <w:r>
              <w:rPr>
                <w:sz w:val="20"/>
              </w:rPr>
              <w:t>☐</w:t>
            </w:r>
          </w:p>
        </w:tc>
        <w:tc>
          <w:tcPr>
            <w:tcW w:type="dxa" w:w="7257"/>
          </w:tcPr>
          <w:p>
            <w:pPr>
              <w:spacing w:before="60" w:after="60"/>
            </w:pPr>
            <w:r>
              <w:rPr>
                <w:sz w:val="20"/>
              </w:rPr>
              <w:t>Levantar as ferramentas de IA que a equipe já usa, inclusive as embutidas em programas e as contas pessoais.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pPr>
              <w:spacing w:before="60" w:after="60"/>
            </w:pPr>
            <w:r>
              <w:rPr>
                <w:sz w:val="20"/>
              </w:rPr>
              <w:t>☐</w:t>
            </w:r>
          </w:p>
        </w:tc>
        <w:tc>
          <w:tcPr>
            <w:tcW w:type="dxa" w:w="7257"/>
          </w:tcPr>
          <w:p>
            <w:pPr>
              <w:spacing w:before="60" w:after="60"/>
            </w:pPr>
            <w:r>
              <w:rPr>
                <w:sz w:val="20"/>
              </w:rPr>
              <w:t>Aprovar a lista do Anexo I depois de ler termos, política de privacidade e contrato de cada fornecedor.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pPr>
              <w:spacing w:before="60" w:after="60"/>
            </w:pPr>
            <w:r>
              <w:rPr>
                <w:sz w:val="20"/>
              </w:rPr>
              <w:t>☐</w:t>
            </w:r>
          </w:p>
        </w:tc>
        <w:tc>
          <w:tcPr>
            <w:tcW w:type="dxa" w:w="7257"/>
          </w:tcPr>
          <w:p>
            <w:pPr>
              <w:spacing w:before="60" w:after="60"/>
            </w:pPr>
            <w:r>
              <w:rPr>
                <w:sz w:val="20"/>
              </w:rPr>
              <w:t>Designar o responsável pela política (cláusula 2.2).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pPr>
              <w:spacing w:before="60" w:after="60"/>
            </w:pPr>
            <w:r>
              <w:rPr>
                <w:sz w:val="20"/>
              </w:rPr>
              <w:t>☐</w:t>
            </w:r>
          </w:p>
        </w:tc>
        <w:tc>
          <w:tcPr>
            <w:tcW w:type="dxa" w:w="7257"/>
          </w:tcPr>
          <w:p>
            <w:pPr>
              <w:spacing w:before="60" w:after="60"/>
            </w:pPr>
            <w:r>
              <w:rPr>
                <w:sz w:val="20"/>
              </w:rPr>
              <w:t>Adaptar a política e aprová-la pelos sócios.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pPr>
              <w:spacing w:before="60" w:after="60"/>
            </w:pPr>
            <w:r>
              <w:rPr>
                <w:sz w:val="20"/>
              </w:rPr>
              <w:t>☐</w:t>
            </w:r>
          </w:p>
        </w:tc>
        <w:tc>
          <w:tcPr>
            <w:tcW w:type="dxa" w:w="7257"/>
          </w:tcPr>
          <w:p>
            <w:pPr>
              <w:spacing w:before="60" w:after="60"/>
            </w:pPr>
            <w:r>
              <w:rPr>
                <w:sz w:val="20"/>
              </w:rPr>
              <w:t>Incluir o Anexo V nos contratos novos e colher o consentimento dos clientes atuais antes de usar IA em seus casos.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pPr>
              <w:spacing w:before="60" w:after="60"/>
            </w:pPr>
            <w:r>
              <w:rPr>
                <w:sz w:val="20"/>
              </w:rPr>
              <w:t>☐</w:t>
            </w:r>
          </w:p>
        </w:tc>
        <w:tc>
          <w:tcPr>
            <w:tcW w:type="dxa" w:w="7257"/>
          </w:tcPr>
          <w:p>
            <w:pPr>
              <w:spacing w:before="60" w:after="60"/>
            </w:pPr>
            <w:r>
              <w:rPr>
                <w:sz w:val="20"/>
              </w:rPr>
              <w:t>Treinar a equipe com exemplos reais, inclusive anonimização e conferência de citações.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pPr>
              <w:spacing w:before="60" w:after="60"/>
            </w:pPr>
            <w:r>
              <w:rPr>
                <w:sz w:val="20"/>
              </w:rPr>
              <w:t>☐</w:t>
            </w:r>
          </w:p>
        </w:tc>
        <w:tc>
          <w:tcPr>
            <w:tcW w:type="dxa" w:w="7257"/>
          </w:tcPr>
          <w:p>
            <w:pPr>
              <w:spacing w:before="60" w:after="60"/>
            </w:pPr>
            <w:r>
              <w:rPr>
                <w:sz w:val="20"/>
              </w:rPr>
              <w:t>Colher o termo de ciência (Anexo VII) de cada usuário.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pPr>
              <w:spacing w:before="60" w:after="60"/>
            </w:pPr>
            <w:r>
              <w:rPr>
                <w:sz w:val="20"/>
              </w:rPr>
              <w:t>☐</w:t>
            </w:r>
          </w:p>
        </w:tc>
        <w:tc>
          <w:tcPr>
            <w:tcW w:type="dxa" w:w="7257"/>
          </w:tcPr>
          <w:p>
            <w:pPr>
              <w:spacing w:before="60" w:after="60"/>
            </w:pPr>
            <w:r>
              <w:rPr>
                <w:sz w:val="20"/>
              </w:rPr>
              <w:t>Iniciar o registro de uso (Anexo IV) e marcar a primeira revisão em 30 dias.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pPr>
              <w:spacing w:before="60" w:after="60"/>
            </w:pPr>
            <w:r>
              <w:rPr>
                <w:sz w:val="20"/>
              </w:rPr>
              <w:t>☐</w:t>
            </w:r>
          </w:p>
        </w:tc>
        <w:tc>
          <w:tcPr>
            <w:tcW w:type="dxa" w:w="7257"/>
          </w:tcPr>
          <w:p>
            <w:pPr>
              <w:spacing w:before="60" w:after="60"/>
            </w:pPr>
            <w:r>
              <w:rPr>
                <w:sz w:val="20"/>
              </w:rPr>
              <w:t>Marcar a revisão geral da política em [PERÍODO].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t>Fontes normativas</w:t>
      </w:r>
    </w:p>
    <w:p>
      <w:pPr>
        <w:pStyle w:val="ListBullet"/>
      </w:pPr>
      <w:r>
        <w:t>Recomendação n. 001/2024 do Conselho Federal da OAB, texto consolidado, itens 1 a 5 (oab.org.br).</w:t>
      </w:r>
    </w:p>
    <w:p>
      <w:pPr>
        <w:pStyle w:val="ListBullet"/>
      </w:pPr>
      <w:r>
        <w:t>Lei Geral de Proteção de Dados, Lei 13.709/2018, em especial os arts. 6º, 42, 46, 48 e 50.</w:t>
      </w:r>
    </w:p>
    <w:p>
      <w:pPr>
        <w:pStyle w:val="ListBullet"/>
      </w:pPr>
      <w:r>
        <w:t>Código de Processo Civil, Lei 13.105/2015, art. 77.</w:t>
      </w:r>
    </w:p>
    <w:p>
      <w:pPr>
        <w:pStyle w:val="ListBullet"/>
      </w:pPr>
      <w:r>
        <w:t>Estatuto da Advocacia e da OAB, Lei 8.906/1994, e Código de Ética e Disciplina da OAB.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1304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5B66"/>
        <w:sz w:val="17"/>
      </w:rPr>
      <w:t xml:space="preserve">Modelo-base elaborado por Lucas Karam Advocacia (OAB/BA 56.878) | lucaskaram.com.br  |  página </w:t>
    </w:r>
    <w:r>
      <w:rPr>
        <w:color w:val="555B66"/>
        <w:sz w:val="17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555B66"/>
        <w:sz w:val="17"/>
      </w:rPr>
      <w:t>Política de Uso de Inteligência Artificial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142B4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142B4D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